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b/>
          <w:bCs/>
          <w:sz w:val="28"/>
          <w:szCs w:val="28"/>
        </w:rPr>
      </w:pPr>
      <w:r>
        <w:rPr>
          <w:rFonts w:hint="eastAsia" w:ascii="宋体" w:hAnsi="宋体" w:eastAsia="宋体"/>
          <w:b/>
          <w:bCs/>
          <w:sz w:val="28"/>
          <w:szCs w:val="28"/>
        </w:rPr>
        <w:t>杭州市临安区第一人民医院</w:t>
      </w:r>
      <w:bookmarkStart w:id="0" w:name="OLE_LINK3"/>
      <w:r>
        <w:rPr>
          <w:rFonts w:hint="eastAsia" w:ascii="宋体" w:hAnsi="宋体" w:eastAsia="宋体"/>
          <w:b/>
          <w:bCs/>
          <w:sz w:val="28"/>
          <w:szCs w:val="28"/>
        </w:rPr>
        <w:t>信</w:t>
      </w:r>
      <w:bookmarkStart w:id="3" w:name="_GoBack"/>
      <w:r>
        <w:rPr>
          <w:rFonts w:hint="eastAsia" w:ascii="宋体" w:hAnsi="宋体" w:eastAsia="宋体"/>
          <w:b/>
          <w:bCs/>
          <w:sz w:val="28"/>
          <w:szCs w:val="28"/>
        </w:rPr>
        <w:t>息系统运维服务</w:t>
      </w:r>
      <w:bookmarkEnd w:id="3"/>
      <w:bookmarkEnd w:id="0"/>
      <w:r>
        <w:rPr>
          <w:rFonts w:hint="eastAsia" w:ascii="宋体" w:hAnsi="宋体" w:eastAsia="宋体"/>
          <w:b/>
          <w:bCs/>
          <w:sz w:val="28"/>
          <w:szCs w:val="28"/>
        </w:rPr>
        <w:t>项目</w:t>
      </w:r>
    </w:p>
    <w:p>
      <w:pPr>
        <w:jc w:val="left"/>
        <w:rPr>
          <w:rFonts w:hint="default" w:ascii="宋体" w:hAnsi="宋体" w:eastAsia="宋体"/>
          <w:b/>
          <w:bCs/>
          <w:sz w:val="28"/>
          <w:szCs w:val="28"/>
          <w:lang w:val="en-US" w:eastAsia="zh-CN"/>
        </w:rPr>
      </w:pPr>
      <w:r>
        <w:rPr>
          <w:rFonts w:hint="eastAsia" w:ascii="宋体" w:hAnsi="宋体" w:eastAsia="宋体"/>
          <w:b/>
          <w:bCs/>
          <w:sz w:val="28"/>
          <w:szCs w:val="28"/>
          <w:lang w:val="en-US" w:eastAsia="zh-CN"/>
        </w:rPr>
        <w:t xml:space="preserve">    预算202.5万/3年</w:t>
      </w:r>
    </w:p>
    <w:p>
      <w:pPr>
        <w:pStyle w:val="2"/>
        <w:rPr>
          <w:rFonts w:hint="eastAsia"/>
        </w:rPr>
      </w:pPr>
      <w:r>
        <w:rPr>
          <w:rFonts w:hint="eastAsia"/>
        </w:rPr>
        <w:t>项目背景</w:t>
      </w:r>
    </w:p>
    <w:p>
      <w:pPr>
        <w:spacing w:line="360" w:lineRule="auto"/>
        <w:ind w:firstLine="480" w:firstLineChars="200"/>
        <w:rPr>
          <w:rFonts w:ascii="宋体" w:hAnsi="宋体" w:eastAsia="宋体"/>
          <w:sz w:val="24"/>
        </w:rPr>
      </w:pPr>
      <w:bookmarkStart w:id="1" w:name="OLE_LINK1"/>
      <w:bookmarkStart w:id="2" w:name="OLE_LINK2"/>
      <w:r>
        <w:rPr>
          <w:rFonts w:ascii="宋体" w:hAnsi="宋体" w:eastAsia="宋体"/>
          <w:sz w:val="24"/>
        </w:rPr>
        <w:t>杭州市临安区第一人民医院是集医疗、教学、科研、急救为一体的三级综合医院。</w:t>
      </w:r>
      <w:r>
        <w:rPr>
          <w:rFonts w:hint="eastAsia" w:ascii="宋体" w:hAnsi="宋体" w:eastAsia="宋体"/>
          <w:sz w:val="24"/>
        </w:rPr>
        <w:t>目前运行信息系统包括</w:t>
      </w:r>
      <w:r>
        <w:rPr>
          <w:rFonts w:ascii="宋体" w:hAnsi="宋体" w:eastAsia="宋体"/>
          <w:sz w:val="24"/>
        </w:rPr>
        <w:t>HIS、电子病历、</w:t>
      </w:r>
      <w:r>
        <w:rPr>
          <w:rFonts w:hint="eastAsia" w:ascii="宋体" w:hAnsi="宋体" w:eastAsia="宋体"/>
          <w:sz w:val="24"/>
        </w:rPr>
        <w:t>护士工作、</w:t>
      </w:r>
      <w:r>
        <w:rPr>
          <w:rFonts w:ascii="宋体" w:hAnsi="宋体" w:eastAsia="宋体"/>
          <w:sz w:val="24"/>
        </w:rPr>
        <w:t>LIS、</w:t>
      </w:r>
      <w:r>
        <w:rPr>
          <w:rFonts w:hint="eastAsia" w:ascii="宋体" w:hAnsi="宋体" w:eastAsia="宋体"/>
          <w:sz w:val="24"/>
        </w:rPr>
        <w:t>治疗管理等,</w:t>
      </w:r>
      <w:r>
        <w:rPr>
          <w:rFonts w:ascii="宋体" w:hAnsi="宋体" w:eastAsia="宋体"/>
          <w:sz w:val="24"/>
        </w:rPr>
        <w:t>覆盖门诊挂号收费、临床诊疗、住院管理、药品调剂、医保支付等核心业务环节，成为医院日常医疗业务运行的重要支撑。</w:t>
      </w:r>
      <w:bookmarkEnd w:id="1"/>
      <w:r>
        <w:rPr>
          <w:rFonts w:ascii="宋体" w:hAnsi="宋体" w:eastAsia="宋体"/>
          <w:sz w:val="24"/>
        </w:rPr>
        <w:t>系统已深度嵌入诊疗流程，其运行状态与临床业务开展、患者就医体验直接相关。一旦系统出现故障或响应迟缓，将直接影响挂号就诊、检查检验、取药结算等各个环节，需要持续、稳定、专业的运行保障。</w:t>
      </w:r>
    </w:p>
    <w:bookmarkEnd w:id="2"/>
    <w:p>
      <w:pPr>
        <w:spacing w:line="360" w:lineRule="auto"/>
        <w:ind w:firstLine="360" w:firstLineChars="150"/>
        <w:rPr>
          <w:rFonts w:hint="eastAsia" w:ascii="宋体" w:hAnsi="宋体" w:eastAsia="宋体"/>
          <w:sz w:val="24"/>
        </w:rPr>
      </w:pPr>
      <w:r>
        <w:rPr>
          <w:rFonts w:ascii="宋体" w:hAnsi="宋体" w:eastAsia="宋体"/>
          <w:sz w:val="24"/>
        </w:rPr>
        <w:t>为进一步规范医院信息化运维管理工作，保障全院各类医疗信息系统持续稳定、安全、高效运行，快速响应系统故障与业务优化需求，切实维护医疗质量与患者就医安全，医院现需采购专业、高效的日常运维与保障服务，通过引入专业技术力量，为信息系统提供规范化保障，确保医院医疗业务服务正常运行。</w:t>
      </w:r>
    </w:p>
    <w:p>
      <w:pPr>
        <w:pStyle w:val="2"/>
        <w:rPr>
          <w:rFonts w:hint="eastAsia"/>
        </w:rPr>
      </w:pPr>
      <w:r>
        <w:rPr>
          <w:rFonts w:hint="eastAsia"/>
        </w:rPr>
        <w:t>运维服务目标</w:t>
      </w:r>
    </w:p>
    <w:p>
      <w:pPr>
        <w:spacing w:line="360" w:lineRule="auto"/>
        <w:ind w:firstLine="360" w:firstLineChars="150"/>
        <w:rPr>
          <w:rFonts w:ascii="宋体" w:hAnsi="宋体" w:eastAsia="宋体"/>
          <w:sz w:val="24"/>
        </w:rPr>
      </w:pPr>
      <w:r>
        <w:rPr>
          <w:rFonts w:hint="eastAsia" w:ascii="宋体" w:hAnsi="宋体" w:eastAsia="宋体"/>
          <w:sz w:val="24"/>
        </w:rPr>
        <w:t>为确保医院各类医疗信息系统持续稳定、安全、高效运行，保障临床诊疗业务正常开展与患者就医安全，运维服务目标如下：</w:t>
      </w:r>
    </w:p>
    <w:p>
      <w:pPr>
        <w:pStyle w:val="31"/>
        <w:numPr>
          <w:ilvl w:val="0"/>
          <w:numId w:val="2"/>
        </w:numPr>
        <w:spacing w:line="360" w:lineRule="auto"/>
        <w:rPr>
          <w:rFonts w:hint="eastAsia" w:ascii="宋体" w:hAnsi="宋体" w:eastAsia="宋体"/>
          <w:sz w:val="24"/>
        </w:rPr>
      </w:pPr>
      <w:r>
        <w:rPr>
          <w:rFonts w:hint="eastAsia" w:ascii="宋体" w:hAnsi="宋体" w:eastAsia="宋体"/>
          <w:sz w:val="24"/>
        </w:rPr>
        <w:t>系统高可用性保障：确保</w:t>
      </w:r>
      <w:r>
        <w:rPr>
          <w:rFonts w:ascii="宋体" w:hAnsi="宋体" w:eastAsia="宋体"/>
          <w:sz w:val="24"/>
        </w:rPr>
        <w:t>HIS、电子病历、护士工作</w:t>
      </w:r>
      <w:r>
        <w:rPr>
          <w:rFonts w:hint="eastAsia" w:ascii="宋体" w:hAnsi="宋体" w:eastAsia="宋体"/>
          <w:sz w:val="24"/>
        </w:rPr>
        <w:t>等核心系统全年可用率不低于 99.99%，关键业务故障响应时间控制在 15 分钟以内，重大故障恢复时间不超过2小时。</w:t>
      </w:r>
    </w:p>
    <w:p>
      <w:pPr>
        <w:pStyle w:val="31"/>
        <w:numPr>
          <w:ilvl w:val="0"/>
          <w:numId w:val="2"/>
        </w:numPr>
        <w:spacing w:line="360" w:lineRule="auto"/>
        <w:rPr>
          <w:rFonts w:hint="eastAsia" w:ascii="宋体" w:hAnsi="宋体" w:eastAsia="宋体"/>
          <w:sz w:val="24"/>
        </w:rPr>
      </w:pPr>
      <w:r>
        <w:rPr>
          <w:rFonts w:hint="eastAsia" w:ascii="宋体" w:hAnsi="宋体" w:eastAsia="宋体"/>
          <w:sz w:val="24"/>
        </w:rPr>
        <w:t>主动式维保体系构建：构建一套涵盖监控预警、日常巡检、性能优化、容灾备份的全周期维保机制，主动发现并及时解决潜在风险，有效降低系统问题发生率。</w:t>
      </w:r>
    </w:p>
    <w:p>
      <w:pPr>
        <w:pStyle w:val="31"/>
        <w:numPr>
          <w:ilvl w:val="0"/>
          <w:numId w:val="2"/>
        </w:numPr>
        <w:spacing w:line="360" w:lineRule="auto"/>
        <w:rPr>
          <w:rFonts w:hint="eastAsia" w:ascii="宋体" w:hAnsi="宋体" w:eastAsia="宋体"/>
          <w:sz w:val="24"/>
        </w:rPr>
      </w:pPr>
      <w:r>
        <w:rPr>
          <w:rFonts w:hint="eastAsia" w:ascii="宋体" w:hAnsi="宋体" w:eastAsia="宋体"/>
          <w:sz w:val="24"/>
        </w:rPr>
        <w:t>安全与合规达标：实现数据零泄露、网络安全零事故，严格满足卫健局、医保局等监管机构的合规性审查要求。</w:t>
      </w:r>
    </w:p>
    <w:p>
      <w:pPr>
        <w:pStyle w:val="31"/>
        <w:numPr>
          <w:ilvl w:val="0"/>
          <w:numId w:val="2"/>
        </w:numPr>
        <w:spacing w:line="360" w:lineRule="auto"/>
        <w:rPr>
          <w:rFonts w:hint="eastAsia" w:ascii="宋体" w:hAnsi="宋体" w:eastAsia="宋体"/>
          <w:sz w:val="24"/>
        </w:rPr>
      </w:pPr>
      <w:r>
        <w:rPr>
          <w:rFonts w:hint="eastAsia" w:ascii="宋体" w:hAnsi="宋体" w:eastAsia="宋体"/>
          <w:sz w:val="24"/>
        </w:rPr>
        <w:t>业务连续性强化：制定完善的应急保障方案，确保医院在遭遇信息故障时，能够迅速恢复业务运行，将影响降至最低。</w:t>
      </w:r>
    </w:p>
    <w:p>
      <w:pPr>
        <w:pStyle w:val="2"/>
        <w:rPr>
          <w:rFonts w:hint="eastAsia"/>
        </w:rPr>
      </w:pPr>
      <w:r>
        <w:rPr>
          <w:rFonts w:hint="eastAsia"/>
        </w:rPr>
        <w:t>服务期限</w:t>
      </w:r>
    </w:p>
    <w:p>
      <w:pPr>
        <w:spacing w:line="360" w:lineRule="auto"/>
        <w:ind w:firstLine="240" w:firstLineChars="100"/>
        <w:rPr>
          <w:rFonts w:hint="eastAsia" w:ascii="宋体" w:hAnsi="宋体" w:eastAsia="宋体"/>
          <w:sz w:val="24"/>
        </w:rPr>
      </w:pPr>
      <w:r>
        <w:rPr>
          <w:rFonts w:ascii="宋体" w:hAnsi="宋体" w:eastAsia="宋体"/>
          <w:sz w:val="24"/>
        </w:rPr>
        <w:t>服务期限为自合同签订之日起</w:t>
      </w:r>
      <w:r>
        <w:rPr>
          <w:rFonts w:hint="eastAsia" w:ascii="宋体" w:hAnsi="宋体" w:eastAsia="宋体"/>
          <w:sz w:val="24"/>
          <w:lang w:val="en-US" w:eastAsia="zh-CN"/>
        </w:rPr>
        <w:t>3</w:t>
      </w:r>
      <w:r>
        <w:rPr>
          <w:rFonts w:ascii="宋体" w:hAnsi="宋体" w:eastAsia="宋体"/>
          <w:sz w:val="24"/>
        </w:rPr>
        <w:t>年。</w:t>
      </w:r>
    </w:p>
    <w:p>
      <w:pPr>
        <w:pStyle w:val="2"/>
        <w:rPr>
          <w:rFonts w:hint="eastAsia"/>
        </w:rPr>
      </w:pPr>
      <w:r>
        <w:rPr>
          <w:rFonts w:hint="eastAsia"/>
        </w:rPr>
        <w:t>运维服务范围</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7"/>
        <w:gridCol w:w="1875"/>
        <w:gridCol w:w="2538"/>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Align w:val="center"/>
          </w:tcPr>
          <w:p>
            <w:pPr>
              <w:widowControl/>
              <w:spacing w:after="0" w:line="360" w:lineRule="auto"/>
              <w:jc w:val="center"/>
              <w:rPr>
                <w:rFonts w:ascii="宋体" w:hAnsi="宋体" w:eastAsia="宋体" w:cs="宋体"/>
                <w:b/>
                <w:bCs/>
                <w:color w:val="000000"/>
                <w:kern w:val="0"/>
                <w:sz w:val="24"/>
                <w14:ligatures w14:val="none"/>
              </w:rPr>
            </w:pPr>
            <w:r>
              <w:rPr>
                <w:rFonts w:ascii="宋体" w:hAnsi="宋体" w:eastAsia="宋体" w:cs="宋体"/>
                <w:b/>
                <w:bCs/>
                <w:color w:val="000000"/>
                <w:kern w:val="0"/>
                <w:sz w:val="24"/>
                <w14:ligatures w14:val="none"/>
              </w:rPr>
              <w:t>序号</w:t>
            </w:r>
          </w:p>
        </w:tc>
        <w:tc>
          <w:tcPr>
            <w:tcW w:w="1100" w:type="pct"/>
            <w:shd w:val="clear" w:color="000000" w:fill="FFFFFF"/>
            <w:vAlign w:val="center"/>
          </w:tcPr>
          <w:p>
            <w:pPr>
              <w:widowControl/>
              <w:spacing w:after="0" w:line="360" w:lineRule="auto"/>
              <w:jc w:val="center"/>
              <w:rPr>
                <w:rFonts w:ascii="宋体" w:hAnsi="宋体" w:eastAsia="宋体" w:cs="宋体"/>
                <w:b/>
                <w:bCs/>
                <w:kern w:val="0"/>
                <w:sz w:val="24"/>
                <w14:ligatures w14:val="none"/>
              </w:rPr>
            </w:pPr>
            <w:r>
              <w:rPr>
                <w:rFonts w:ascii="宋体" w:hAnsi="宋体" w:eastAsia="宋体" w:cs="宋体"/>
                <w:b/>
                <w:bCs/>
                <w:kern w:val="0"/>
                <w:sz w:val="24"/>
                <w14:ligatures w14:val="none"/>
              </w:rPr>
              <w:t>系统名称</w:t>
            </w:r>
          </w:p>
        </w:tc>
        <w:tc>
          <w:tcPr>
            <w:tcW w:w="1489" w:type="pct"/>
            <w:shd w:val="clear" w:color="000000" w:fill="FFFFFF"/>
            <w:vAlign w:val="center"/>
          </w:tcPr>
          <w:p>
            <w:pPr>
              <w:widowControl/>
              <w:spacing w:after="0" w:line="360" w:lineRule="auto"/>
              <w:jc w:val="center"/>
              <w:rPr>
                <w:rFonts w:ascii="宋体" w:hAnsi="宋体" w:eastAsia="宋体" w:cs="宋体"/>
                <w:b/>
                <w:bCs/>
                <w:kern w:val="0"/>
                <w:sz w:val="24"/>
                <w14:ligatures w14:val="none"/>
              </w:rPr>
            </w:pPr>
            <w:r>
              <w:rPr>
                <w:rFonts w:ascii="宋体" w:hAnsi="宋体" w:eastAsia="宋体" w:cs="宋体"/>
                <w:b/>
                <w:bCs/>
                <w:kern w:val="0"/>
                <w:sz w:val="24"/>
                <w14:ligatures w14:val="none"/>
              </w:rPr>
              <w:t>子系统名称</w:t>
            </w:r>
          </w:p>
        </w:tc>
        <w:tc>
          <w:tcPr>
            <w:tcW w:w="1997" w:type="pct"/>
            <w:shd w:val="clear" w:color="000000" w:fill="FFFFFF"/>
            <w:vAlign w:val="center"/>
          </w:tcPr>
          <w:p>
            <w:pPr>
              <w:widowControl/>
              <w:spacing w:after="0" w:line="360" w:lineRule="auto"/>
              <w:jc w:val="center"/>
              <w:rPr>
                <w:rFonts w:ascii="宋体" w:hAnsi="宋体" w:eastAsia="宋体" w:cs="宋体"/>
                <w:b/>
                <w:bCs/>
                <w:kern w:val="0"/>
                <w:sz w:val="24"/>
                <w14:ligatures w14:val="none"/>
              </w:rPr>
            </w:pPr>
            <w:r>
              <w:rPr>
                <w:rFonts w:ascii="宋体" w:hAnsi="宋体" w:eastAsia="宋体" w:cs="宋体"/>
                <w:b/>
                <w:bCs/>
                <w:kern w:val="0"/>
                <w:sz w:val="24"/>
                <w14:ligatures w14:val="none"/>
              </w:rPr>
              <w:t>功能模块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1</w:t>
            </w:r>
          </w:p>
        </w:tc>
        <w:tc>
          <w:tcPr>
            <w:tcW w:w="1100"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经济管理</w:t>
            </w: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门急诊挂号</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病人信息登记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门急诊挂号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门急诊收费</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门急诊划价、门急诊收费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出入院管理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出入院管理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医技收费管理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医技收费管理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2</w:t>
            </w:r>
          </w:p>
        </w:tc>
        <w:tc>
          <w:tcPr>
            <w:tcW w:w="1100"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药品管理</w:t>
            </w: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药品基本部分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药库管理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门诊药房管理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住院药房管理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住院输液配置中心</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输液中心库存管理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住院输液发药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输液批次管理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3</w:t>
            </w:r>
          </w:p>
        </w:tc>
        <w:tc>
          <w:tcPr>
            <w:tcW w:w="1100"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门诊输液系统</w:t>
            </w:r>
          </w:p>
        </w:tc>
        <w:tc>
          <w:tcPr>
            <w:tcW w:w="1489"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门诊输液室</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门诊输液管理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4</w:t>
            </w:r>
          </w:p>
        </w:tc>
        <w:tc>
          <w:tcPr>
            <w:tcW w:w="1100"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门诊护士站</w:t>
            </w: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排队叫号</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诊区分诊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诊间分诊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5</w:t>
            </w:r>
          </w:p>
        </w:tc>
        <w:tc>
          <w:tcPr>
            <w:tcW w:w="1100"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门诊挂号预约</w:t>
            </w:r>
          </w:p>
        </w:tc>
        <w:tc>
          <w:tcPr>
            <w:tcW w:w="1489"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预约管理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排班管理/患者信用管理/号源管理/统计分析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预约服务</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窗口预约/护士站预约/门诊医生预约/住院医生预约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6</w:t>
            </w:r>
          </w:p>
        </w:tc>
        <w:tc>
          <w:tcPr>
            <w:tcW w:w="1100"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门诊预付费就医</w:t>
            </w:r>
          </w:p>
        </w:tc>
        <w:tc>
          <w:tcPr>
            <w:tcW w:w="1489"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门诊预付费就医</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卡账户管理/交易处理/财务管理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7</w:t>
            </w:r>
          </w:p>
        </w:tc>
        <w:tc>
          <w:tcPr>
            <w:tcW w:w="1100"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手术管理</w:t>
            </w:r>
          </w:p>
        </w:tc>
        <w:tc>
          <w:tcPr>
            <w:tcW w:w="1489"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门诊手术管理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门诊手术安排/门诊手术计费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住院手术管理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住院手术安排/住院手术计费/住院手术室汇总领药/手术情况录入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8</w:t>
            </w:r>
          </w:p>
        </w:tc>
        <w:tc>
          <w:tcPr>
            <w:tcW w:w="1100"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综合管理与统计分析</w:t>
            </w:r>
          </w:p>
        </w:tc>
        <w:tc>
          <w:tcPr>
            <w:tcW w:w="1489"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医疗统计</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定制报表</w:t>
            </w:r>
            <w:r>
              <w:rPr>
                <w:rFonts w:ascii="宋体" w:hAnsi="宋体" w:eastAsia="宋体" w:cs="宋体"/>
                <w:color w:val="000000"/>
                <w:kern w:val="0"/>
                <w:sz w:val="24"/>
                <w14:ligatures w14:val="none"/>
              </w:rPr>
              <w:br w:type="textWrapping"/>
            </w:r>
            <w:r>
              <w:rPr>
                <w:rFonts w:ascii="宋体" w:hAnsi="宋体" w:eastAsia="宋体" w:cs="宋体"/>
                <w:color w:val="000000"/>
                <w:kern w:val="0"/>
                <w:sz w:val="24"/>
                <w14:ligatures w14:val="none"/>
              </w:rPr>
              <w:t>(一级25张内,二级50张内,三级70张内)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9</w:t>
            </w:r>
          </w:p>
        </w:tc>
        <w:tc>
          <w:tcPr>
            <w:tcW w:w="1100"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显示屏接口</w:t>
            </w:r>
          </w:p>
        </w:tc>
        <w:tc>
          <w:tcPr>
            <w:tcW w:w="1489"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门诊发药大屏数据接口</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门诊发药大屏数据接口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10</w:t>
            </w:r>
          </w:p>
        </w:tc>
        <w:tc>
          <w:tcPr>
            <w:tcW w:w="1100"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外部接口</w:t>
            </w:r>
          </w:p>
        </w:tc>
        <w:tc>
          <w:tcPr>
            <w:tcW w:w="1489"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医疗保险接口</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医疗保险接口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11</w:t>
            </w:r>
          </w:p>
        </w:tc>
        <w:tc>
          <w:tcPr>
            <w:tcW w:w="1100"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系统管理</w:t>
            </w:r>
          </w:p>
        </w:tc>
        <w:tc>
          <w:tcPr>
            <w:tcW w:w="1489"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系统配置</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系统配置工具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12</w:t>
            </w:r>
          </w:p>
        </w:tc>
        <w:tc>
          <w:tcPr>
            <w:tcW w:w="1100"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门诊输液系统</w:t>
            </w:r>
          </w:p>
        </w:tc>
        <w:tc>
          <w:tcPr>
            <w:tcW w:w="1489"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门诊移动输液系统（PDA）</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门诊移动输液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13</w:t>
            </w:r>
          </w:p>
        </w:tc>
        <w:tc>
          <w:tcPr>
            <w:tcW w:w="1100"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预住院管理系统</w:t>
            </w: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住院准备中心</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床位预约管理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院前医嘱管理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住院检查预约管理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第三方检查系统接入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14</w:t>
            </w:r>
          </w:p>
        </w:tc>
        <w:tc>
          <w:tcPr>
            <w:tcW w:w="1100"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日间手术管理系统</w:t>
            </w: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日间手术管理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准入管理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预约安排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质量监控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患者评估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术前宣教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患者核对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出院评估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术后随访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15</w:t>
            </w:r>
          </w:p>
        </w:tc>
        <w:tc>
          <w:tcPr>
            <w:tcW w:w="1100"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门诊临床信息系统</w:t>
            </w: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门诊处方管理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门诊患者基本信息管理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门诊处方处置规则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门诊处方和处置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门诊协定方管理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门诊特病处方管理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门诊申请单管理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门诊检验电子申请单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么子检查电子申请单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门诊检验报告调阅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门诊检查报告查阅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门诊单据管理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住院证开具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门诊病假单管理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住院证管理及院前床位预约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门诊诊间挂号</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门诊诊间挂号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门诊电子病历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门诊病历录入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门诊病历书写助手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门诊病历模板管理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门诊病历查询与统计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16</w:t>
            </w:r>
          </w:p>
        </w:tc>
        <w:tc>
          <w:tcPr>
            <w:tcW w:w="1100"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住院临床信息系统</w:t>
            </w: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电子医嘱</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住院患者基本信息管理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病人医嘱管理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医嘱规则管理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住院医生术中医嘱录入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住院电子病历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住院病历录入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住院病历书写助手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住院病案首页录入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住院病历授权管理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住院病历模板管理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住院病历质控管理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特殊病种病历模板订阅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住院病历数据查询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住院电子申请单</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住院检验电子申请单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住院检查电子申请单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住院检验报告调阅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住院检查报告调阅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住院院内会诊管理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住院院内会诊管理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17</w:t>
            </w:r>
          </w:p>
        </w:tc>
        <w:tc>
          <w:tcPr>
            <w:tcW w:w="1100"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危急值流转系统</w:t>
            </w: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危急值交互服务</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危急值预警传输服务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危急值反馈处理服务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危急值信息查询服务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18</w:t>
            </w:r>
          </w:p>
        </w:tc>
        <w:tc>
          <w:tcPr>
            <w:tcW w:w="1100"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抗菌药物管理系统</w:t>
            </w: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抗菌药物管理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抗菌药物规则设置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抗菌药物联合用药控制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抗菌药物三级管理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围手术期预防性抗菌药物管理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抗菌药物国家规范文档调阅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19</w:t>
            </w:r>
          </w:p>
        </w:tc>
        <w:tc>
          <w:tcPr>
            <w:tcW w:w="1100"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住院临床路径管理系统</w:t>
            </w: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住院临床路径</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临床路径配置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入出路径管理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临床路径执行与变异管理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临床路径评估管理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临床路径统计查询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20</w:t>
            </w:r>
          </w:p>
        </w:tc>
        <w:tc>
          <w:tcPr>
            <w:tcW w:w="1100"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急诊管理系统</w:t>
            </w: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急诊预检分诊</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预检登记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患者分级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群伤管理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预检台挂号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急诊护士站</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患者管理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医嘱管理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观察项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病情记录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液体平衡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护理记录单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费用管理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护理评估、体温单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护理文书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21</w:t>
            </w:r>
          </w:p>
        </w:tc>
        <w:tc>
          <w:tcPr>
            <w:tcW w:w="1100"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不良事件管理软件</w:t>
            </w: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不良事件上报</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护理类不良事件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医疗类不良事件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药品类不良事件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输血类不良事件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器械类不良事件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院感类不良事件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安保类不良事件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行政后勤类不良事件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门诊类不良事件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信息安全类不良事件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职业安全类不良事件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22</w:t>
            </w:r>
          </w:p>
        </w:tc>
        <w:tc>
          <w:tcPr>
            <w:tcW w:w="1100"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治疗管理系统</w:t>
            </w: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治疗管理系统</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治疗项目管理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治疗记录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治疗单划价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治疗预约管理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治疗评估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治疗文书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23</w:t>
            </w:r>
          </w:p>
        </w:tc>
        <w:tc>
          <w:tcPr>
            <w:tcW w:w="1100"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医院感染管理信息系统</w:t>
            </w: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医院感染管理系统</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院感预警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院感防控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环境卫生监测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职业防护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感控目标基础监测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手卫依从性调查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防控督导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病原微生物及多重耐药菌监控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手术目标监测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ICU监测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NICU监测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手卫生用品领用信息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24</w:t>
            </w:r>
          </w:p>
        </w:tc>
        <w:tc>
          <w:tcPr>
            <w:tcW w:w="1100"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电子数据签名接口</w:t>
            </w:r>
          </w:p>
        </w:tc>
        <w:tc>
          <w:tcPr>
            <w:tcW w:w="1489"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登录用户管理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登录用户管理/登录用户权限设置/证书自动登录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数字签名接口</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身份认证接口/数字签名接口/时间戳接口/数字印章接口/签名补签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门诊病历数据签名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住院病历数据签名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25</w:t>
            </w:r>
          </w:p>
        </w:tc>
        <w:tc>
          <w:tcPr>
            <w:tcW w:w="1100"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住院护士工作站</w:t>
            </w: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住院护士站</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住院患者入出转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住院床位管理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住院患者费用处理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护士站医嘱管理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26</w:t>
            </w:r>
          </w:p>
        </w:tc>
        <w:tc>
          <w:tcPr>
            <w:tcW w:w="1100"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护理信息系统</w:t>
            </w:r>
          </w:p>
        </w:tc>
        <w:tc>
          <w:tcPr>
            <w:tcW w:w="1489"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护士交班管理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护士交班管理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27</w:t>
            </w:r>
          </w:p>
        </w:tc>
        <w:tc>
          <w:tcPr>
            <w:tcW w:w="1100"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检验科信息管理系统LIS</w:t>
            </w: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条码流程管理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门急诊条码管理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住院条码管理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体检条码管理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检验设备条码双工通讯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标本TAT时间管理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常规检验管理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常规设备联机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标本登记及收费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检验结果处理模块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检验报告发布回收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检验报告临床调阅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查询及统计管理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检验数据分析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室内质控管理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检验危急值提醒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微生物管理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微生物联机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报告管理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三级报告临床发布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微生物WHONET接口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查询及统计管理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实验流程电子化管理  （原始记录单）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科室管理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试剂耗材管理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28项实验室质量控制指标管理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第三方系统整合</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LIS系统与第三方系统接口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28</w:t>
            </w:r>
          </w:p>
        </w:tc>
        <w:tc>
          <w:tcPr>
            <w:tcW w:w="1100"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输血科管理系统</w:t>
            </w: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输血科管理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血袋出入库管理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血型检查鉴定及审核管理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病人备血及发血管理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输血免疫报告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血袋销毁管理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血袋库位管理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查询/统计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第三方系统整合</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输血系统与第三方系统接口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输血不良事件管理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输血不良事件管理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29</w:t>
            </w:r>
          </w:p>
        </w:tc>
        <w:tc>
          <w:tcPr>
            <w:tcW w:w="1100"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全院检查预约平台</w:t>
            </w:r>
          </w:p>
        </w:tc>
        <w:tc>
          <w:tcPr>
            <w:tcW w:w="1489" w:type="pc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预约排班规则管理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预约排班规则管理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全院预约管理</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门诊检查预约管理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住院检查预约管理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电子申请单信息接收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查询统计报表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黑名单记录及控制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自动预约管理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第三方检查系统接入改造</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第三方检查系统接入改造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第三方系统整合</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HIS接口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医生站集成接口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30</w:t>
            </w:r>
          </w:p>
        </w:tc>
        <w:tc>
          <w:tcPr>
            <w:tcW w:w="1100"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接口</w:t>
            </w:r>
          </w:p>
        </w:tc>
        <w:tc>
          <w:tcPr>
            <w:tcW w:w="1489" w:type="pct"/>
            <w:vMerge w:val="restart"/>
            <w:vAlign w:val="center"/>
          </w:tcPr>
          <w:p>
            <w:pPr>
              <w:widowControl/>
              <w:spacing w:after="0" w:line="360" w:lineRule="auto"/>
              <w:jc w:val="center"/>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接口</w:t>
            </w: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微脉APP接口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日间手术医保结算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临安市卫生信息平台软件接口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合理用药软件接口升级改造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微信公众号住院自费结算+移动远程接口+未来医院+CA流程改造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微信公众号接口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日间手术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短信平台接口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营养点餐接口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电子发票+和乐产科+结核病上传+消毒供应室等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入院准备中心系统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前置审方系统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先看病后付费改造+先看病后付费新增市民卡等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门诊随访与接口等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呼叫中心系统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健康档案浏览调阅等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HIS自动跳转到双向转诊平台接口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全员核酸采样检测等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放射科胶片补缴业务接口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医保病案信息采集接口+挂号预约需求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西湖益联保（省）+西湖益联保（市）+贯标接口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语音电子病历接口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无偿献血智能减免门诊诊查费接口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医学检查检验结果互认共享接口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与DRGS接口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415"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100"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489" w:type="pct"/>
            <w:vMerge w:val="continue"/>
            <w:vAlign w:val="center"/>
          </w:tcPr>
          <w:p>
            <w:pPr>
              <w:widowControl/>
              <w:spacing w:after="0" w:line="360" w:lineRule="auto"/>
              <w:rPr>
                <w:rFonts w:ascii="宋体" w:hAnsi="宋体" w:eastAsia="宋体" w:cs="宋体"/>
                <w:color w:val="000000"/>
                <w:kern w:val="0"/>
                <w:sz w:val="24"/>
                <w14:ligatures w14:val="none"/>
              </w:rPr>
            </w:pPr>
          </w:p>
        </w:tc>
        <w:tc>
          <w:tcPr>
            <w:tcW w:w="1997" w:type="pct"/>
            <w:vAlign w:val="center"/>
          </w:tcPr>
          <w:p>
            <w:pPr>
              <w:widowControl/>
              <w:spacing w:after="0" w:line="36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与HRP接口</w:t>
            </w:r>
          </w:p>
        </w:tc>
      </w:tr>
    </w:tbl>
    <w:p>
      <w:pPr>
        <w:pStyle w:val="2"/>
        <w:rPr>
          <w:rFonts w:hint="eastAsia"/>
        </w:rPr>
      </w:pPr>
      <w:r>
        <w:rPr>
          <w:rFonts w:hint="eastAsia"/>
        </w:rPr>
        <w:t>运维服务要求</w:t>
      </w:r>
    </w:p>
    <w:p>
      <w:pPr>
        <w:pStyle w:val="3"/>
      </w:pPr>
      <w:r>
        <w:rPr>
          <w:rFonts w:hint="eastAsia"/>
        </w:rPr>
        <w:t>服务方式要求</w:t>
      </w:r>
    </w:p>
    <w:p>
      <w:pPr>
        <w:spacing w:line="360" w:lineRule="auto"/>
        <w:ind w:firstLine="480" w:firstLineChars="200"/>
        <w:rPr>
          <w:rFonts w:hint="eastAsia" w:ascii="宋体" w:hAnsi="宋体" w:eastAsia="宋体"/>
          <w:sz w:val="24"/>
        </w:rPr>
      </w:pPr>
      <w:r>
        <w:rPr>
          <w:rFonts w:hint="eastAsia" w:ascii="宋体" w:hAnsi="宋体" w:eastAsia="宋体"/>
          <w:sz w:val="24"/>
        </w:rPr>
        <w:t>供应商须为医院提供多种维保服务方式，以保障医院相应信息系统的稳定运行，如：热线支持、远程维护、现场服务等。</w:t>
      </w:r>
    </w:p>
    <w:p>
      <w:pPr>
        <w:pStyle w:val="31"/>
        <w:numPr>
          <w:ilvl w:val="0"/>
          <w:numId w:val="3"/>
        </w:numPr>
        <w:spacing w:line="360" w:lineRule="auto"/>
        <w:rPr>
          <w:rFonts w:hint="eastAsia" w:ascii="宋体" w:hAnsi="宋体" w:eastAsia="宋体"/>
          <w:sz w:val="24"/>
        </w:rPr>
      </w:pPr>
      <w:r>
        <w:rPr>
          <w:rFonts w:hint="eastAsia" w:ascii="宋体" w:hAnsi="宋体" w:eastAsia="宋体"/>
          <w:sz w:val="24"/>
        </w:rPr>
        <w:t>热线支持：供应商须提供7×24小时技术服务热线电话支持，如果医院在使用产品时遇到技术故障，均可通过免费热线电话、电子邮件等寻求技术支持和帮助，供应商应在确认用户的服务请求后，安排专业的技术人员帮助用户排除软件故障。</w:t>
      </w:r>
    </w:p>
    <w:p>
      <w:pPr>
        <w:pStyle w:val="31"/>
        <w:numPr>
          <w:ilvl w:val="0"/>
          <w:numId w:val="3"/>
        </w:numPr>
        <w:spacing w:line="360" w:lineRule="auto"/>
        <w:rPr>
          <w:rFonts w:hint="eastAsia" w:ascii="宋体" w:hAnsi="宋体" w:eastAsia="宋体"/>
          <w:sz w:val="24"/>
        </w:rPr>
      </w:pPr>
      <w:r>
        <w:rPr>
          <w:rFonts w:hint="eastAsia" w:ascii="宋体" w:hAnsi="宋体" w:eastAsia="宋体"/>
          <w:sz w:val="24"/>
        </w:rPr>
        <w:t>远程维护：当医院在使用软件时遇到系统故障或疑难的情况需要支持的时候，供应商应能通过电话线或宽带等进行远程维护服务，帮助医院排除系统运行出现的故障。</w:t>
      </w:r>
    </w:p>
    <w:p>
      <w:pPr>
        <w:pStyle w:val="31"/>
        <w:numPr>
          <w:ilvl w:val="0"/>
          <w:numId w:val="3"/>
        </w:numPr>
        <w:spacing w:line="360" w:lineRule="auto"/>
        <w:rPr>
          <w:rFonts w:hint="eastAsia" w:ascii="宋体" w:hAnsi="宋体" w:eastAsia="宋体"/>
          <w:sz w:val="24"/>
        </w:rPr>
      </w:pPr>
      <w:r>
        <w:rPr>
          <w:rFonts w:hint="eastAsia" w:ascii="宋体" w:hAnsi="宋体" w:eastAsia="宋体"/>
          <w:sz w:val="24"/>
        </w:rPr>
        <w:t>现场服务：</w:t>
      </w:r>
      <w:r>
        <w:rPr>
          <w:rFonts w:hint="eastAsia" w:ascii="宋体" w:hAnsi="宋体" w:eastAsia="宋体"/>
          <w:sz w:val="24"/>
          <w:lang w:val="en-US" w:eastAsia="zh-CN"/>
        </w:rPr>
        <w:t>要求现场驻场人员4名</w:t>
      </w:r>
      <w:r>
        <w:rPr>
          <w:rFonts w:hint="eastAsia" w:ascii="宋体" w:hAnsi="宋体" w:eastAsia="宋体"/>
          <w:sz w:val="24"/>
        </w:rPr>
        <w:t>。</w:t>
      </w:r>
    </w:p>
    <w:p>
      <w:pPr>
        <w:pStyle w:val="3"/>
        <w:rPr>
          <w:rFonts w:hint="eastAsia"/>
        </w:rPr>
      </w:pPr>
      <w:r>
        <w:rPr>
          <w:rFonts w:hint="eastAsia"/>
        </w:rPr>
        <w:t>维护服务内容要求</w:t>
      </w:r>
    </w:p>
    <w:p>
      <w:pPr>
        <w:autoSpaceDE w:val="0"/>
        <w:autoSpaceDN w:val="0"/>
        <w:adjustRightInd w:val="0"/>
        <w:spacing w:after="0" w:line="360" w:lineRule="auto"/>
        <w:ind w:firstLine="482" w:firstLineChars="200"/>
        <w:jc w:val="both"/>
        <w:rPr>
          <w:rFonts w:ascii="宋体" w:hAnsi="宋体" w:eastAsia="宋体" w:cs="Times New Roman"/>
          <w:b/>
          <w:bCs/>
          <w:color w:val="000000"/>
          <w:kern w:val="0"/>
          <w:sz w:val="24"/>
          <w14:ligatures w14:val="none"/>
        </w:rPr>
      </w:pPr>
      <w:r>
        <w:rPr>
          <w:rFonts w:hint="eastAsia" w:ascii="宋体" w:hAnsi="宋体" w:eastAsia="宋体" w:cs="Times New Roman"/>
          <w:b/>
          <w:bCs/>
          <w:color w:val="000000"/>
          <w:kern w:val="0"/>
          <w:sz w:val="24"/>
          <w14:ligatures w14:val="none"/>
        </w:rPr>
        <w:t>1、</w:t>
      </w:r>
      <w:r>
        <w:rPr>
          <w:rFonts w:ascii="宋体" w:hAnsi="宋体" w:eastAsia="宋体" w:cs="Times New Roman"/>
          <w:b/>
          <w:bCs/>
          <w:color w:val="000000"/>
          <w:kern w:val="0"/>
          <w:sz w:val="24"/>
          <w14:ligatures w14:val="none"/>
        </w:rPr>
        <w:t>维护服务要求</w:t>
      </w:r>
    </w:p>
    <w:p>
      <w:pPr>
        <w:autoSpaceDE w:val="0"/>
        <w:autoSpaceDN w:val="0"/>
        <w:adjustRightInd w:val="0"/>
        <w:spacing w:after="0" w:line="360" w:lineRule="auto"/>
        <w:ind w:firstLine="480" w:firstLineChars="200"/>
        <w:jc w:val="both"/>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软件维护服务应遵循卫计委有关标准和规范，立足医院实际情况，充分考虑系统的安全性、实用性；</w:t>
      </w:r>
    </w:p>
    <w:p>
      <w:pPr>
        <w:autoSpaceDE w:val="0"/>
        <w:autoSpaceDN w:val="0"/>
        <w:adjustRightInd w:val="0"/>
        <w:spacing w:after="0" w:line="360" w:lineRule="auto"/>
        <w:ind w:firstLine="480" w:firstLineChars="200"/>
        <w:jc w:val="both"/>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供应商应具有相关软件行业经验，并具有较强的数据库服务能力，熟悉SQL Server各版本数据库；</w:t>
      </w:r>
    </w:p>
    <w:p>
      <w:pPr>
        <w:autoSpaceDE w:val="0"/>
        <w:autoSpaceDN w:val="0"/>
        <w:adjustRightInd w:val="0"/>
        <w:spacing w:after="0" w:line="360" w:lineRule="auto"/>
        <w:ind w:firstLine="480" w:firstLineChars="200"/>
        <w:jc w:val="both"/>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供应商应熟悉医院的各项医疗及管理流程；</w:t>
      </w:r>
    </w:p>
    <w:p>
      <w:pPr>
        <w:autoSpaceDE w:val="0"/>
        <w:autoSpaceDN w:val="0"/>
        <w:adjustRightInd w:val="0"/>
        <w:spacing w:after="0" w:line="360" w:lineRule="auto"/>
        <w:ind w:firstLine="480" w:firstLineChars="200"/>
        <w:jc w:val="both"/>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供应商应具有充足的技术服务团队人员和完善的售后服务保障体系；</w:t>
      </w:r>
    </w:p>
    <w:p>
      <w:pPr>
        <w:autoSpaceDE w:val="0"/>
        <w:autoSpaceDN w:val="0"/>
        <w:adjustRightInd w:val="0"/>
        <w:spacing w:after="0" w:line="360" w:lineRule="auto"/>
        <w:ind w:firstLine="480" w:firstLineChars="200"/>
        <w:jc w:val="both"/>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对于发生的各种应急事件，如系统数据问题，在两小时内派员抵达医院现场进行处理；</w:t>
      </w:r>
    </w:p>
    <w:p>
      <w:pPr>
        <w:autoSpaceDE w:val="0"/>
        <w:autoSpaceDN w:val="0"/>
        <w:adjustRightInd w:val="0"/>
        <w:spacing w:after="0" w:line="360" w:lineRule="auto"/>
        <w:ind w:firstLine="480" w:firstLineChars="200"/>
        <w:jc w:val="both"/>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对于医院提出的一般性的软件修正需求一个工作日内响应，</w:t>
      </w:r>
      <w:r>
        <w:rPr>
          <w:rFonts w:hint="eastAsia" w:ascii="宋体" w:hAnsi="宋体" w:eastAsia="宋体" w:cs="Times New Roman"/>
          <w:color w:val="000000"/>
          <w:kern w:val="0"/>
          <w:sz w:val="24"/>
          <w14:ligatures w14:val="none"/>
        </w:rPr>
        <w:t>1</w:t>
      </w:r>
      <w:r>
        <w:rPr>
          <w:rFonts w:ascii="宋体" w:hAnsi="宋体" w:eastAsia="宋体" w:cs="Times New Roman"/>
          <w:color w:val="000000"/>
          <w:kern w:val="0"/>
          <w:sz w:val="24"/>
          <w14:ligatures w14:val="none"/>
        </w:rPr>
        <w:t>0个工作日内解决，涉及软件改动工作量较大时，解决时间可由双方另行协商解决。</w:t>
      </w:r>
    </w:p>
    <w:p>
      <w:pPr>
        <w:autoSpaceDE w:val="0"/>
        <w:autoSpaceDN w:val="0"/>
        <w:adjustRightInd w:val="0"/>
        <w:spacing w:after="0" w:line="360" w:lineRule="auto"/>
        <w:ind w:firstLine="482" w:firstLineChars="200"/>
        <w:jc w:val="both"/>
        <w:rPr>
          <w:rFonts w:hint="eastAsia" w:ascii="宋体" w:hAnsi="宋体" w:eastAsia="宋体" w:cs="Times New Roman"/>
          <w:b/>
          <w:bCs/>
          <w:color w:val="000000"/>
          <w:kern w:val="0"/>
          <w:sz w:val="24"/>
          <w14:ligatures w14:val="none"/>
        </w:rPr>
      </w:pPr>
      <w:r>
        <w:rPr>
          <w:rFonts w:hint="eastAsia" w:ascii="宋体" w:hAnsi="宋体" w:eastAsia="宋体" w:cs="Times New Roman"/>
          <w:b/>
          <w:bCs/>
          <w:color w:val="000000"/>
          <w:kern w:val="0"/>
          <w:sz w:val="24"/>
          <w14:ligatures w14:val="none"/>
        </w:rPr>
        <w:t>2、应用软件维护服务</w:t>
      </w:r>
    </w:p>
    <w:p>
      <w:pPr>
        <w:autoSpaceDE w:val="0"/>
        <w:autoSpaceDN w:val="0"/>
        <w:adjustRightInd w:val="0"/>
        <w:spacing w:after="0" w:line="360" w:lineRule="auto"/>
        <w:ind w:firstLine="480" w:firstLineChars="200"/>
        <w:jc w:val="both"/>
        <w:rPr>
          <w:rFonts w:hint="eastAsia"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提供技术支持服务，保障医院信息管理系统的系统正常、稳定运行。</w:t>
      </w:r>
    </w:p>
    <w:p>
      <w:pPr>
        <w:autoSpaceDE w:val="0"/>
        <w:autoSpaceDN w:val="0"/>
        <w:adjustRightInd w:val="0"/>
        <w:spacing w:after="0" w:line="360" w:lineRule="auto"/>
        <w:ind w:firstLine="480" w:firstLineChars="200"/>
        <w:jc w:val="both"/>
        <w:rPr>
          <w:rFonts w:hint="eastAsia"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处理医院信息管理系统功能的BUG修复、功能改进等需求。</w:t>
      </w:r>
    </w:p>
    <w:p>
      <w:pPr>
        <w:autoSpaceDE w:val="0"/>
        <w:autoSpaceDN w:val="0"/>
        <w:adjustRightInd w:val="0"/>
        <w:spacing w:after="0" w:line="360" w:lineRule="auto"/>
        <w:ind w:firstLine="480" w:firstLineChars="200"/>
        <w:jc w:val="both"/>
        <w:rPr>
          <w:rFonts w:hint="eastAsia"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做好软件产品的升级服务。</w:t>
      </w:r>
    </w:p>
    <w:p>
      <w:pPr>
        <w:autoSpaceDE w:val="0"/>
        <w:autoSpaceDN w:val="0"/>
        <w:adjustRightInd w:val="0"/>
        <w:spacing w:after="0" w:line="360" w:lineRule="auto"/>
        <w:ind w:firstLine="480" w:firstLineChars="200"/>
        <w:jc w:val="both"/>
        <w:rPr>
          <w:rFonts w:hint="eastAsia"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协助医院人员进行日常事件及问题处理，并将解决办法告知医院相关负责人。</w:t>
      </w:r>
    </w:p>
    <w:p>
      <w:pPr>
        <w:autoSpaceDE w:val="0"/>
        <w:autoSpaceDN w:val="0"/>
        <w:adjustRightInd w:val="0"/>
        <w:spacing w:after="0" w:line="360" w:lineRule="auto"/>
        <w:ind w:firstLine="482" w:firstLineChars="200"/>
        <w:jc w:val="both"/>
        <w:rPr>
          <w:rFonts w:hint="eastAsia" w:ascii="宋体" w:hAnsi="宋体" w:eastAsia="宋体" w:cs="Times New Roman"/>
          <w:b/>
          <w:bCs/>
          <w:color w:val="000000"/>
          <w:kern w:val="0"/>
          <w:sz w:val="24"/>
          <w14:ligatures w14:val="none"/>
        </w:rPr>
      </w:pPr>
      <w:r>
        <w:rPr>
          <w:rFonts w:hint="eastAsia" w:ascii="宋体" w:hAnsi="宋体" w:eastAsia="宋体" w:cs="Times New Roman"/>
          <w:b/>
          <w:bCs/>
          <w:color w:val="000000"/>
          <w:kern w:val="0"/>
          <w:sz w:val="24"/>
          <w14:ligatures w14:val="none"/>
        </w:rPr>
        <w:t>3、应急服务(普通应急服务)</w:t>
      </w:r>
    </w:p>
    <w:p>
      <w:pPr>
        <w:autoSpaceDE w:val="0"/>
        <w:autoSpaceDN w:val="0"/>
        <w:adjustRightInd w:val="0"/>
        <w:spacing w:after="0" w:line="360" w:lineRule="auto"/>
        <w:ind w:firstLine="480" w:firstLineChars="200"/>
        <w:jc w:val="both"/>
        <w:rPr>
          <w:rFonts w:hint="eastAsia"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由于院方产生突发的应急事件，供应商服务人员按照对应排查方案和应急预案提供快速应急服务，配合院方快速恢复正常业务。</w:t>
      </w:r>
    </w:p>
    <w:p>
      <w:pPr>
        <w:autoSpaceDE w:val="0"/>
        <w:autoSpaceDN w:val="0"/>
        <w:adjustRightInd w:val="0"/>
        <w:spacing w:after="0" w:line="360" w:lineRule="auto"/>
        <w:ind w:firstLine="482" w:firstLineChars="200"/>
        <w:jc w:val="both"/>
        <w:rPr>
          <w:rFonts w:hint="eastAsia" w:ascii="宋体" w:hAnsi="宋体" w:eastAsia="宋体" w:cs="Times New Roman"/>
          <w:b/>
          <w:bCs/>
          <w:color w:val="000000"/>
          <w:kern w:val="0"/>
          <w:sz w:val="24"/>
          <w14:ligatures w14:val="none"/>
        </w:rPr>
      </w:pPr>
      <w:r>
        <w:rPr>
          <w:rFonts w:hint="eastAsia" w:ascii="宋体" w:hAnsi="宋体" w:eastAsia="宋体" w:cs="Times New Roman"/>
          <w:b/>
          <w:bCs/>
          <w:color w:val="000000"/>
          <w:kern w:val="0"/>
          <w:sz w:val="24"/>
          <w14:ligatures w14:val="none"/>
        </w:rPr>
        <w:t>4、事件恢复</w:t>
      </w:r>
    </w:p>
    <w:p>
      <w:pPr>
        <w:autoSpaceDE w:val="0"/>
        <w:autoSpaceDN w:val="0"/>
        <w:adjustRightInd w:val="0"/>
        <w:spacing w:after="0" w:line="360" w:lineRule="auto"/>
        <w:ind w:firstLine="480" w:firstLineChars="200"/>
        <w:jc w:val="both"/>
        <w:rPr>
          <w:rFonts w:hint="eastAsia"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供应商按照院方对应的服务级别协议，为院方提供日常使用系统的事件恢复服务，具体内容包括但不限于:软件安装、业务咨询、报障处理、常用报表核对与纠错、操作性错误导致的问题(数据修改需要医院授权)。</w:t>
      </w:r>
    </w:p>
    <w:p>
      <w:pPr>
        <w:autoSpaceDE w:val="0"/>
        <w:autoSpaceDN w:val="0"/>
        <w:adjustRightInd w:val="0"/>
        <w:spacing w:after="0" w:line="360" w:lineRule="auto"/>
        <w:ind w:firstLine="482" w:firstLineChars="200"/>
        <w:jc w:val="both"/>
        <w:rPr>
          <w:rFonts w:hint="eastAsia" w:ascii="宋体" w:hAnsi="宋体" w:eastAsia="宋体" w:cs="Times New Roman"/>
          <w:b/>
          <w:bCs/>
          <w:color w:val="000000"/>
          <w:kern w:val="0"/>
          <w:sz w:val="24"/>
          <w14:ligatures w14:val="none"/>
        </w:rPr>
      </w:pPr>
      <w:r>
        <w:rPr>
          <w:rFonts w:hint="eastAsia" w:ascii="宋体" w:hAnsi="宋体" w:eastAsia="宋体" w:cs="Times New Roman"/>
          <w:b/>
          <w:bCs/>
          <w:color w:val="000000"/>
          <w:kern w:val="0"/>
          <w:sz w:val="24"/>
          <w14:ligatures w14:val="none"/>
        </w:rPr>
        <w:t>5、问题根治</w:t>
      </w:r>
    </w:p>
    <w:p>
      <w:pPr>
        <w:autoSpaceDE w:val="0"/>
        <w:autoSpaceDN w:val="0"/>
        <w:adjustRightInd w:val="0"/>
        <w:spacing w:after="0" w:line="360" w:lineRule="auto"/>
        <w:ind w:firstLine="480" w:firstLineChars="200"/>
        <w:jc w:val="both"/>
        <w:rPr>
          <w:rFonts w:hint="eastAsia"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供应商服务人员在发现系统运行问题或者接收到院方反馈到的问题之后，对问题发生的根本原因进行分析，并商讨、发布、落实对应整改建议。</w:t>
      </w:r>
    </w:p>
    <w:p>
      <w:pPr>
        <w:autoSpaceDE w:val="0"/>
        <w:autoSpaceDN w:val="0"/>
        <w:adjustRightInd w:val="0"/>
        <w:spacing w:after="0" w:line="360" w:lineRule="auto"/>
        <w:ind w:firstLine="482" w:firstLineChars="200"/>
        <w:jc w:val="both"/>
        <w:rPr>
          <w:rFonts w:ascii="宋体" w:hAnsi="宋体" w:eastAsia="宋体" w:cs="Times New Roman"/>
          <w:b/>
          <w:bCs/>
          <w:color w:val="000000"/>
          <w:kern w:val="0"/>
          <w:sz w:val="24"/>
          <w14:ligatures w14:val="none"/>
        </w:rPr>
      </w:pPr>
      <w:r>
        <w:rPr>
          <w:rFonts w:hint="eastAsia" w:ascii="宋体" w:hAnsi="宋体" w:eastAsia="宋体" w:cs="Times New Roman"/>
          <w:b/>
          <w:bCs/>
          <w:color w:val="000000"/>
          <w:kern w:val="0"/>
          <w:sz w:val="24"/>
          <w14:ligatures w14:val="none"/>
        </w:rPr>
        <w:t>6、客服中心支持</w:t>
      </w:r>
    </w:p>
    <w:p>
      <w:pPr>
        <w:autoSpaceDE w:val="0"/>
        <w:autoSpaceDN w:val="0"/>
        <w:adjustRightInd w:val="0"/>
        <w:spacing w:after="0" w:line="360" w:lineRule="auto"/>
        <w:ind w:firstLine="480" w:firstLineChars="200"/>
        <w:jc w:val="both"/>
        <w:rPr>
          <w:rFonts w:hint="eastAsia"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客服中心定期回访，对比较困难的问题成交供应商内部协调各部门资源对现场进行支持，监督事件处理的进度，并且随时提供远程支持。</w:t>
      </w:r>
    </w:p>
    <w:p>
      <w:pPr>
        <w:autoSpaceDE w:val="0"/>
        <w:autoSpaceDN w:val="0"/>
        <w:adjustRightInd w:val="0"/>
        <w:spacing w:after="0" w:line="360" w:lineRule="auto"/>
        <w:ind w:firstLine="482" w:firstLineChars="200"/>
        <w:jc w:val="both"/>
        <w:rPr>
          <w:rFonts w:ascii="宋体" w:hAnsi="宋体" w:eastAsia="宋体" w:cs="Times New Roman"/>
          <w:b/>
          <w:bCs/>
          <w:color w:val="000000"/>
          <w:kern w:val="0"/>
          <w:sz w:val="24"/>
          <w14:ligatures w14:val="none"/>
        </w:rPr>
      </w:pPr>
      <w:r>
        <w:rPr>
          <w:rFonts w:hint="eastAsia" w:ascii="宋体" w:hAnsi="宋体" w:eastAsia="宋体" w:cs="Times New Roman"/>
          <w:b/>
          <w:bCs/>
          <w:color w:val="000000"/>
          <w:kern w:val="0"/>
          <w:sz w:val="24"/>
          <w14:ligatures w14:val="none"/>
        </w:rPr>
        <w:t>7、</w:t>
      </w:r>
      <w:r>
        <w:rPr>
          <w:rFonts w:ascii="宋体" w:hAnsi="宋体" w:eastAsia="宋体" w:cs="Times New Roman"/>
          <w:b/>
          <w:bCs/>
          <w:color w:val="000000"/>
          <w:kern w:val="0"/>
          <w:sz w:val="24"/>
          <w14:ligatures w14:val="none"/>
        </w:rPr>
        <w:t>服务响应级别（SLA）</w:t>
      </w:r>
    </w:p>
    <w:p>
      <w:pPr>
        <w:autoSpaceDE w:val="0"/>
        <w:autoSpaceDN w:val="0"/>
        <w:adjustRightInd w:val="0"/>
        <w:spacing w:after="0" w:line="360" w:lineRule="auto"/>
        <w:ind w:firstLine="482" w:firstLineChars="200"/>
        <w:rPr>
          <w:rFonts w:ascii="宋体" w:hAnsi="宋体" w:eastAsia="宋体" w:cs="Times New Roman"/>
          <w:b/>
          <w:bCs/>
          <w:caps/>
          <w:color w:val="000000"/>
          <w:kern w:val="0"/>
          <w:sz w:val="24"/>
          <w14:ligatures w14:val="none"/>
        </w:rPr>
      </w:pPr>
      <w:r>
        <w:rPr>
          <w:rFonts w:ascii="宋体" w:hAnsi="宋体" w:eastAsia="宋体" w:cs="Times New Roman"/>
          <w:b/>
          <w:bCs/>
          <w:caps/>
          <w:color w:val="000000"/>
          <w:kern w:val="0"/>
          <w:sz w:val="24"/>
          <w14:ligatures w14:val="none"/>
        </w:rPr>
        <w:t>事件处理：</w:t>
      </w:r>
    </w:p>
    <w:p>
      <w:pPr>
        <w:autoSpaceDE w:val="0"/>
        <w:autoSpaceDN w:val="0"/>
        <w:adjustRightInd w:val="0"/>
        <w:spacing w:after="0" w:line="360" w:lineRule="auto"/>
        <w:ind w:firstLine="480" w:firstLineChars="200"/>
        <w:jc w:val="both"/>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优先级高：1个工作日内处理</w:t>
      </w:r>
    </w:p>
    <w:p>
      <w:pPr>
        <w:autoSpaceDE w:val="0"/>
        <w:autoSpaceDN w:val="0"/>
        <w:adjustRightInd w:val="0"/>
        <w:spacing w:after="0" w:line="360" w:lineRule="auto"/>
        <w:ind w:firstLine="480" w:firstLineChars="200"/>
        <w:jc w:val="both"/>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优先级中：3个工作日内处理</w:t>
      </w:r>
    </w:p>
    <w:p>
      <w:pPr>
        <w:autoSpaceDE w:val="0"/>
        <w:autoSpaceDN w:val="0"/>
        <w:adjustRightInd w:val="0"/>
        <w:spacing w:after="0" w:line="360" w:lineRule="auto"/>
        <w:ind w:firstLine="480" w:firstLineChars="200"/>
        <w:jc w:val="both"/>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优先级低：5个工作日内处理</w:t>
      </w:r>
    </w:p>
    <w:p>
      <w:pPr>
        <w:autoSpaceDE w:val="0"/>
        <w:autoSpaceDN w:val="0"/>
        <w:adjustRightInd w:val="0"/>
        <w:spacing w:after="0" w:line="360" w:lineRule="auto"/>
        <w:ind w:firstLine="482" w:firstLineChars="200"/>
        <w:rPr>
          <w:rFonts w:ascii="宋体" w:hAnsi="宋体" w:eastAsia="宋体" w:cs="Times New Roman"/>
          <w:b/>
          <w:bCs/>
          <w:caps/>
          <w:color w:val="000000"/>
          <w:kern w:val="0"/>
          <w:sz w:val="24"/>
          <w14:ligatures w14:val="none"/>
        </w:rPr>
      </w:pPr>
      <w:r>
        <w:rPr>
          <w:rFonts w:ascii="宋体" w:hAnsi="宋体" w:eastAsia="宋体" w:cs="Times New Roman"/>
          <w:b/>
          <w:bCs/>
          <w:caps/>
          <w:color w:val="000000"/>
          <w:kern w:val="0"/>
          <w:sz w:val="24"/>
          <w14:ligatures w14:val="none"/>
        </w:rPr>
        <w:t>需求处理：</w:t>
      </w:r>
    </w:p>
    <w:p>
      <w:pPr>
        <w:autoSpaceDE w:val="0"/>
        <w:autoSpaceDN w:val="0"/>
        <w:adjustRightInd w:val="0"/>
        <w:spacing w:after="0" w:line="360" w:lineRule="auto"/>
        <w:ind w:firstLine="480" w:firstLineChars="200"/>
        <w:jc w:val="both"/>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平均</w:t>
      </w:r>
      <w:r>
        <w:rPr>
          <w:rFonts w:hint="eastAsia" w:ascii="宋体" w:hAnsi="宋体" w:eastAsia="宋体" w:cs="Times New Roman"/>
          <w:color w:val="000000"/>
          <w:kern w:val="0"/>
          <w:sz w:val="24"/>
          <w14:ligatures w14:val="none"/>
        </w:rPr>
        <w:t>15</w:t>
      </w:r>
      <w:r>
        <w:rPr>
          <w:rFonts w:ascii="宋体" w:hAnsi="宋体" w:eastAsia="宋体" w:cs="Times New Roman"/>
          <w:color w:val="000000"/>
          <w:kern w:val="0"/>
          <w:sz w:val="24"/>
          <w14:ligatures w14:val="none"/>
        </w:rPr>
        <w:t>个工作日</w:t>
      </w:r>
    </w:p>
    <w:p>
      <w:pPr>
        <w:autoSpaceDE w:val="0"/>
        <w:autoSpaceDN w:val="0"/>
        <w:adjustRightInd w:val="0"/>
        <w:spacing w:after="0" w:line="360" w:lineRule="auto"/>
        <w:ind w:firstLine="482" w:firstLineChars="200"/>
        <w:rPr>
          <w:rFonts w:ascii="宋体" w:hAnsi="宋体" w:eastAsia="宋体" w:cs="Times New Roman"/>
          <w:b/>
          <w:bCs/>
          <w:caps/>
          <w:color w:val="000000"/>
          <w:kern w:val="0"/>
          <w:sz w:val="24"/>
          <w14:ligatures w14:val="none"/>
        </w:rPr>
      </w:pPr>
      <w:r>
        <w:rPr>
          <w:rFonts w:ascii="宋体" w:hAnsi="宋体" w:eastAsia="宋体" w:cs="Times New Roman"/>
          <w:b/>
          <w:bCs/>
          <w:caps/>
          <w:color w:val="000000"/>
          <w:kern w:val="0"/>
          <w:sz w:val="24"/>
          <w14:ligatures w14:val="none"/>
        </w:rPr>
        <w:t>响应支持：</w:t>
      </w:r>
    </w:p>
    <w:p>
      <w:pPr>
        <w:autoSpaceDE w:val="0"/>
        <w:autoSpaceDN w:val="0"/>
        <w:adjustRightInd w:val="0"/>
        <w:spacing w:after="0" w:line="360" w:lineRule="auto"/>
        <w:ind w:firstLine="480" w:firstLineChars="200"/>
        <w:jc w:val="both"/>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5</w:t>
      </w:r>
      <w:r>
        <w:rPr>
          <w:rFonts w:ascii="宋体" w:hAnsi="宋体" w:eastAsia="宋体" w:cs="Times New Roman"/>
          <w:color w:val="000000"/>
          <w:kern w:val="0"/>
          <w:sz w:val="24"/>
          <w14:ligatures w14:val="none"/>
        </w:rPr>
        <w:t>天*24小时/周</w:t>
      </w:r>
    </w:p>
    <w:p>
      <w:pPr>
        <w:autoSpaceDE w:val="0"/>
        <w:autoSpaceDN w:val="0"/>
        <w:adjustRightInd w:val="0"/>
        <w:spacing w:after="0" w:line="360" w:lineRule="auto"/>
        <w:ind w:firstLine="482" w:firstLineChars="200"/>
        <w:rPr>
          <w:rFonts w:ascii="宋体" w:hAnsi="宋体" w:eastAsia="宋体" w:cs="Times New Roman"/>
          <w:b/>
          <w:bCs/>
          <w:caps/>
          <w:color w:val="000000"/>
          <w:kern w:val="0"/>
          <w:sz w:val="24"/>
          <w14:ligatures w14:val="none"/>
        </w:rPr>
      </w:pPr>
      <w:r>
        <w:rPr>
          <w:rFonts w:ascii="宋体" w:hAnsi="宋体" w:eastAsia="宋体" w:cs="Times New Roman"/>
          <w:b/>
          <w:bCs/>
          <w:caps/>
          <w:color w:val="000000"/>
          <w:kern w:val="0"/>
          <w:sz w:val="24"/>
          <w14:ligatures w14:val="none"/>
        </w:rPr>
        <w:t>服务支持：</w:t>
      </w:r>
    </w:p>
    <w:p>
      <w:pPr>
        <w:autoSpaceDE w:val="0"/>
        <w:autoSpaceDN w:val="0"/>
        <w:adjustRightInd w:val="0"/>
        <w:spacing w:after="0" w:line="360" w:lineRule="auto"/>
        <w:ind w:firstLine="480" w:firstLineChars="200"/>
        <w:jc w:val="both"/>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5</w:t>
      </w:r>
      <w:r>
        <w:rPr>
          <w:rFonts w:ascii="宋体" w:hAnsi="宋体" w:eastAsia="宋体" w:cs="Times New Roman"/>
          <w:color w:val="000000"/>
          <w:kern w:val="0"/>
          <w:sz w:val="24"/>
          <w14:ligatures w14:val="none"/>
        </w:rPr>
        <w:t>天*8小时/周</w:t>
      </w:r>
    </w:p>
    <w:p>
      <w:pPr>
        <w:autoSpaceDE w:val="0"/>
        <w:autoSpaceDN w:val="0"/>
        <w:adjustRightInd w:val="0"/>
        <w:spacing w:after="0" w:line="360" w:lineRule="auto"/>
        <w:ind w:firstLine="482" w:firstLineChars="200"/>
        <w:jc w:val="both"/>
        <w:rPr>
          <w:rFonts w:ascii="宋体" w:hAnsi="宋体" w:eastAsia="宋体" w:cs="Times New Roman"/>
          <w:b/>
          <w:bCs/>
          <w:color w:val="000000"/>
          <w:kern w:val="0"/>
          <w:sz w:val="24"/>
          <w14:ligatures w14:val="none"/>
        </w:rPr>
      </w:pPr>
      <w:r>
        <w:rPr>
          <w:rFonts w:hint="eastAsia" w:ascii="宋体" w:hAnsi="宋体" w:eastAsia="宋体" w:cs="Times New Roman"/>
          <w:b/>
          <w:bCs/>
          <w:color w:val="000000"/>
          <w:kern w:val="0"/>
          <w:sz w:val="24"/>
          <w14:ligatures w14:val="none"/>
        </w:rPr>
        <w:t>8、</w:t>
      </w:r>
      <w:r>
        <w:rPr>
          <w:rFonts w:ascii="宋体" w:hAnsi="宋体" w:eastAsia="宋体" w:cs="Times New Roman"/>
          <w:b/>
          <w:bCs/>
          <w:color w:val="000000"/>
          <w:kern w:val="0"/>
          <w:sz w:val="24"/>
          <w14:ligatures w14:val="none"/>
        </w:rPr>
        <w:t>应急处置</w:t>
      </w:r>
    </w:p>
    <w:p>
      <w:pPr>
        <w:autoSpaceDE w:val="0"/>
        <w:autoSpaceDN w:val="0"/>
        <w:adjustRightInd w:val="0"/>
        <w:spacing w:after="0" w:line="360" w:lineRule="auto"/>
        <w:ind w:firstLine="482" w:firstLineChars="200"/>
        <w:jc w:val="both"/>
        <w:rPr>
          <w:rFonts w:ascii="宋体" w:hAnsi="宋体" w:eastAsia="宋体" w:cs="Times New Roman"/>
          <w:b/>
          <w:bCs/>
          <w:color w:val="000000"/>
          <w:kern w:val="0"/>
          <w:sz w:val="24"/>
          <w14:ligatures w14:val="none"/>
        </w:rPr>
      </w:pPr>
      <w:r>
        <w:rPr>
          <w:rFonts w:ascii="宋体" w:hAnsi="宋体" w:eastAsia="宋体" w:cs="Times New Roman"/>
          <w:b/>
          <w:bCs/>
          <w:color w:val="000000"/>
          <w:kern w:val="0"/>
          <w:sz w:val="24"/>
          <w14:ligatures w14:val="none"/>
        </w:rPr>
        <w:t>应急响应时间、响应程度</w:t>
      </w:r>
    </w:p>
    <w:p>
      <w:pPr>
        <w:autoSpaceDE w:val="0"/>
        <w:autoSpaceDN w:val="0"/>
        <w:adjustRightInd w:val="0"/>
        <w:spacing w:after="0" w:line="360" w:lineRule="auto"/>
        <w:ind w:firstLine="480" w:firstLineChars="200"/>
        <w:jc w:val="both"/>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在软件维护期内，供应商除了提供“7*24小时不间断,贴心技术服务保障”外，同时每年将安排至少两次的定期院方回访和3次以上电话技术支持服务，对系统故障的响应时间如下:</w:t>
      </w:r>
    </w:p>
    <w:p>
      <w:pPr>
        <w:autoSpaceDE w:val="0"/>
        <w:autoSpaceDN w:val="0"/>
        <w:adjustRightInd w:val="0"/>
        <w:spacing w:after="0" w:line="360" w:lineRule="auto"/>
        <w:ind w:firstLine="480" w:firstLineChars="200"/>
        <w:jc w:val="both"/>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一级故障，立即响应，如无法远程处理，4小时内到现场，8小时内恢复系统正常运行。</w:t>
      </w:r>
    </w:p>
    <w:p>
      <w:pPr>
        <w:autoSpaceDE w:val="0"/>
        <w:autoSpaceDN w:val="0"/>
        <w:adjustRightInd w:val="0"/>
        <w:spacing w:after="0" w:line="360" w:lineRule="auto"/>
        <w:ind w:firstLine="480" w:firstLineChars="200"/>
        <w:jc w:val="both"/>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二级故障，立即响应，如无法远程处理，6小时内到现场，12小时内恢复系统正常运行。</w:t>
      </w:r>
    </w:p>
    <w:p>
      <w:pPr>
        <w:autoSpaceDE w:val="0"/>
        <w:autoSpaceDN w:val="0"/>
        <w:adjustRightInd w:val="0"/>
        <w:spacing w:after="0" w:line="360" w:lineRule="auto"/>
        <w:ind w:firstLine="480" w:firstLineChars="200"/>
        <w:jc w:val="both"/>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三级故障，立即响应，如无法远程处理，</w:t>
      </w:r>
      <w:r>
        <w:rPr>
          <w:rFonts w:hint="eastAsia" w:ascii="宋体" w:hAnsi="宋体" w:eastAsia="宋体" w:cs="Times New Roman"/>
          <w:color w:val="000000"/>
          <w:kern w:val="0"/>
          <w:sz w:val="24"/>
          <w14:ligatures w14:val="none"/>
        </w:rPr>
        <w:t>12</w:t>
      </w:r>
      <w:r>
        <w:rPr>
          <w:rFonts w:ascii="宋体" w:hAnsi="宋体" w:eastAsia="宋体" w:cs="Times New Roman"/>
          <w:color w:val="000000"/>
          <w:kern w:val="0"/>
          <w:sz w:val="24"/>
          <w14:ligatures w14:val="none"/>
        </w:rPr>
        <w:t>小时内到现场；提供现场维护。</w:t>
      </w:r>
    </w:p>
    <w:p>
      <w:pPr>
        <w:autoSpaceDE w:val="0"/>
        <w:autoSpaceDN w:val="0"/>
        <w:adjustRightInd w:val="0"/>
        <w:spacing w:after="0" w:line="360" w:lineRule="auto"/>
        <w:ind w:firstLine="482" w:firstLineChars="200"/>
        <w:jc w:val="both"/>
        <w:rPr>
          <w:rFonts w:ascii="宋体" w:hAnsi="宋体" w:eastAsia="宋体" w:cs="Times New Roman"/>
          <w:b/>
          <w:bCs/>
          <w:color w:val="000000"/>
          <w:kern w:val="0"/>
          <w:sz w:val="24"/>
          <w14:ligatures w14:val="none"/>
        </w:rPr>
      </w:pPr>
      <w:r>
        <w:rPr>
          <w:rFonts w:ascii="宋体" w:hAnsi="宋体" w:eastAsia="宋体" w:cs="Times New Roman"/>
          <w:b/>
          <w:bCs/>
          <w:color w:val="000000"/>
          <w:kern w:val="0"/>
          <w:sz w:val="24"/>
          <w14:ligatures w14:val="none"/>
        </w:rPr>
        <w:t>故障等级分类如下：</w:t>
      </w:r>
    </w:p>
    <w:p>
      <w:pPr>
        <w:autoSpaceDE w:val="0"/>
        <w:autoSpaceDN w:val="0"/>
        <w:adjustRightInd w:val="0"/>
        <w:spacing w:after="0" w:line="360" w:lineRule="auto"/>
        <w:ind w:firstLine="480" w:firstLineChars="200"/>
        <w:jc w:val="both"/>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一级，因故障造成的整个系统瘫痪。</w:t>
      </w:r>
    </w:p>
    <w:p>
      <w:pPr>
        <w:autoSpaceDE w:val="0"/>
        <w:autoSpaceDN w:val="0"/>
        <w:adjustRightInd w:val="0"/>
        <w:spacing w:after="0" w:line="360" w:lineRule="auto"/>
        <w:ind w:firstLine="480" w:firstLineChars="200"/>
        <w:jc w:val="both"/>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二级，因故障严重影响系统运行。</w:t>
      </w:r>
    </w:p>
    <w:p>
      <w:pPr>
        <w:autoSpaceDE w:val="0"/>
        <w:autoSpaceDN w:val="0"/>
        <w:adjustRightInd w:val="0"/>
        <w:spacing w:after="0" w:line="360" w:lineRule="auto"/>
        <w:ind w:firstLine="480" w:firstLineChars="200"/>
        <w:jc w:val="both"/>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三级，因故障影响系统的效率，但系统仍然可以运行。</w:t>
      </w:r>
    </w:p>
    <w:p>
      <w:pPr>
        <w:pStyle w:val="3"/>
      </w:pPr>
      <w:r>
        <w:rPr>
          <w:rFonts w:hint="eastAsia"/>
        </w:rPr>
        <w:t>运维监控管理要求</w:t>
      </w:r>
    </w:p>
    <w:p>
      <w:pPr>
        <w:autoSpaceDE w:val="0"/>
        <w:autoSpaceDN w:val="0"/>
        <w:adjustRightInd w:val="0"/>
        <w:spacing w:after="0" w:line="360" w:lineRule="auto"/>
        <w:ind w:firstLine="480" w:firstLineChars="200"/>
        <w:jc w:val="both"/>
        <w:rPr>
          <w:rFonts w:hint="eastAsia"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为提升系统运维效率，须具备运维预警工具，支持对各类主题指标同屏监控以及预警功能的灵活设置。</w:t>
      </w:r>
      <w:r>
        <w:rPr>
          <w:rFonts w:hint="eastAsia" w:ascii="宋体" w:hAnsi="宋体" w:eastAsia="宋体" w:cs="Times New Roman"/>
          <w:color w:val="000000"/>
          <w:kern w:val="0"/>
          <w:sz w:val="24"/>
          <w14:ligatures w14:val="none"/>
        </w:rPr>
        <w:t>通过统一资源监控、性能分析、故障定位、告警通知等功能。从根源上提升运维响应速度与问题处置效率，保障IT系统运行的连续性、稳定性与安全性。具体包括以下功能:</w:t>
      </w:r>
    </w:p>
    <w:p>
      <w:pPr>
        <w:pStyle w:val="31"/>
        <w:numPr>
          <w:ilvl w:val="0"/>
          <w:numId w:val="4"/>
        </w:numPr>
        <w:autoSpaceDE w:val="0"/>
        <w:autoSpaceDN w:val="0"/>
        <w:adjustRightInd w:val="0"/>
        <w:spacing w:after="0" w:line="360" w:lineRule="auto"/>
        <w:jc w:val="both"/>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通过大屏形式，在同一监控界面中同时对故障定位、慢接口、异常接口、微服务等进行实时运维监控；</w:t>
      </w:r>
    </w:p>
    <w:p>
      <w:pPr>
        <w:pStyle w:val="31"/>
        <w:numPr>
          <w:ilvl w:val="0"/>
          <w:numId w:val="4"/>
        </w:numPr>
        <w:autoSpaceDE w:val="0"/>
        <w:autoSpaceDN w:val="0"/>
        <w:adjustRightInd w:val="0"/>
        <w:spacing w:after="0" w:line="360" w:lineRule="auto"/>
        <w:jc w:val="both"/>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要求提供预警策略配置功能，配置信息至少包含是否告警、告警级别、告警间隔时间、是否电话通知等</w:t>
      </w:r>
      <w:r>
        <w:rPr>
          <w:rFonts w:hint="eastAsia" w:ascii="宋体" w:hAnsi="宋体" w:eastAsia="宋体" w:cs="Times New Roman"/>
          <w:color w:val="000000"/>
          <w:kern w:val="0"/>
          <w:sz w:val="24"/>
          <w14:ligatures w14:val="none"/>
        </w:rPr>
        <w:t>；</w:t>
      </w:r>
    </w:p>
    <w:p>
      <w:pPr>
        <w:pStyle w:val="31"/>
        <w:numPr>
          <w:ilvl w:val="0"/>
          <w:numId w:val="4"/>
        </w:numPr>
        <w:autoSpaceDE w:val="0"/>
        <w:autoSpaceDN w:val="0"/>
        <w:adjustRightInd w:val="0"/>
        <w:spacing w:after="0" w:line="360" w:lineRule="auto"/>
        <w:jc w:val="both"/>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提供的预警策略监控模板至少覆盖前端模板、中间件模板、微服务模板、业务模板等类别</w:t>
      </w:r>
      <w:r>
        <w:rPr>
          <w:rFonts w:hint="eastAsia" w:ascii="宋体" w:hAnsi="宋体" w:eastAsia="宋体" w:cs="Times New Roman"/>
          <w:color w:val="000000"/>
          <w:kern w:val="0"/>
          <w:sz w:val="24"/>
          <w14:ligatures w14:val="none"/>
        </w:rPr>
        <w:t>；</w:t>
      </w:r>
    </w:p>
    <w:p>
      <w:pPr>
        <w:pStyle w:val="31"/>
        <w:numPr>
          <w:ilvl w:val="0"/>
          <w:numId w:val="4"/>
        </w:numPr>
        <w:autoSpaceDE w:val="0"/>
        <w:autoSpaceDN w:val="0"/>
        <w:adjustRightInd w:val="0"/>
        <w:spacing w:after="0" w:line="360" w:lineRule="auto"/>
        <w:jc w:val="both"/>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要求在运维平台中对业务链路、数据库、中间件、服务端的全量日志统一运维管理</w:t>
      </w:r>
      <w:r>
        <w:rPr>
          <w:rFonts w:hint="eastAsia" w:ascii="宋体" w:hAnsi="宋体" w:eastAsia="宋体" w:cs="Times New Roman"/>
          <w:color w:val="000000"/>
          <w:kern w:val="0"/>
          <w:sz w:val="24"/>
          <w14:ligatures w14:val="none"/>
        </w:rPr>
        <w:t>；</w:t>
      </w:r>
    </w:p>
    <w:p>
      <w:pPr>
        <w:pStyle w:val="31"/>
        <w:numPr>
          <w:ilvl w:val="0"/>
          <w:numId w:val="4"/>
        </w:numPr>
        <w:autoSpaceDE w:val="0"/>
        <w:autoSpaceDN w:val="0"/>
        <w:adjustRightInd w:val="0"/>
        <w:spacing w:after="0" w:line="360" w:lineRule="auto"/>
        <w:jc w:val="both"/>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要求提供预警消息接收管理功能，接收类型至少包含短信、微信、钉钉、邮件、飞书等五种。</w:t>
      </w:r>
    </w:p>
    <w:p>
      <w:pPr>
        <w:rPr>
          <w:rFonts w:hint="eastAsia"/>
        </w:rPr>
      </w:pPr>
      <w:r>
        <w:rPr>
          <w:rFonts w:ascii="宋体" w:hAnsi="宋体" w:eastAsia="宋体" w:cs="Times New Roman"/>
          <w:b/>
          <w:bCs/>
          <w:color w:val="000000"/>
          <w:kern w:val="0"/>
          <w:sz w:val="24"/>
          <w14:ligatures w14:val="none"/>
        </w:rPr>
        <w:t>以上内容提供系统功能截图且运维预警系统有实际使用案例不少于3个盖章的用户证明</w:t>
      </w:r>
      <w:r>
        <w:rPr>
          <w:rFonts w:ascii="宋体" w:hAnsi="宋体" w:eastAsia="宋体" w:cs="Times New Roman"/>
          <w:color w:val="000000"/>
          <w:kern w:val="0"/>
          <w:sz w:val="24"/>
          <w14:ligatures w14:val="none"/>
        </w:rPr>
        <w:t>。</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1B63B2"/>
    <w:multiLevelType w:val="multilevel"/>
    <w:tmpl w:val="061B63B2"/>
    <w:lvl w:ilvl="0" w:tentative="0">
      <w:start w:val="1"/>
      <w:numFmt w:val="decimal"/>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
    <w:nsid w:val="16AD1CF4"/>
    <w:multiLevelType w:val="multilevel"/>
    <w:tmpl w:val="16AD1CF4"/>
    <w:lvl w:ilvl="0" w:tentative="0">
      <w:start w:val="1"/>
      <w:numFmt w:val="decimal"/>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2">
    <w:nsid w:val="54700498"/>
    <w:multiLevelType w:val="multilevel"/>
    <w:tmpl w:val="54700498"/>
    <w:lvl w:ilvl="0" w:tentative="0">
      <w:start w:val="1"/>
      <w:numFmt w:val="decimal"/>
      <w:pStyle w:val="2"/>
      <w:lvlText w:val="%1"/>
      <w:lvlJc w:val="left"/>
      <w:pPr>
        <w:ind w:left="425" w:hanging="425"/>
      </w:pPr>
      <w:rPr>
        <w:rFonts w:hint="eastAsia"/>
      </w:rPr>
    </w:lvl>
    <w:lvl w:ilvl="1" w:tentative="0">
      <w:start w:val="1"/>
      <w:numFmt w:val="decimal"/>
      <w:pStyle w:val="3"/>
      <w:lvlText w:val="%1.%2"/>
      <w:lvlJc w:val="left"/>
      <w:pPr>
        <w:ind w:left="992" w:hanging="567"/>
      </w:pPr>
      <w:rPr>
        <w:rFonts w:hint="eastAsia"/>
      </w:rPr>
    </w:lvl>
    <w:lvl w:ilvl="2" w:tentative="0">
      <w:start w:val="1"/>
      <w:numFmt w:val="decimal"/>
      <w:pStyle w:val="4"/>
      <w:lvlText w:val="%1.%2.%3"/>
      <w:lvlJc w:val="left"/>
      <w:pPr>
        <w:ind w:left="1418" w:hanging="567"/>
      </w:pPr>
      <w:rPr>
        <w:rFonts w:hint="eastAsia"/>
      </w:rPr>
    </w:lvl>
    <w:lvl w:ilvl="3" w:tentative="0">
      <w:start w:val="1"/>
      <w:numFmt w:val="decimal"/>
      <w:pStyle w:val="5"/>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56332A77"/>
    <w:multiLevelType w:val="multilevel"/>
    <w:tmpl w:val="56332A77"/>
    <w:lvl w:ilvl="0" w:tentative="0">
      <w:start w:val="1"/>
      <w:numFmt w:val="decimal"/>
      <w:lvlText w:val="%1)"/>
      <w:lvlJc w:val="left"/>
      <w:pPr>
        <w:ind w:left="800" w:hanging="440"/>
      </w:pPr>
    </w:lvl>
    <w:lvl w:ilvl="1" w:tentative="0">
      <w:start w:val="1"/>
      <w:numFmt w:val="lowerLetter"/>
      <w:lvlText w:val="%2)"/>
      <w:lvlJc w:val="left"/>
      <w:pPr>
        <w:ind w:left="1240" w:hanging="440"/>
      </w:pPr>
    </w:lvl>
    <w:lvl w:ilvl="2" w:tentative="0">
      <w:start w:val="1"/>
      <w:numFmt w:val="lowerRoman"/>
      <w:lvlText w:val="%3."/>
      <w:lvlJc w:val="right"/>
      <w:pPr>
        <w:ind w:left="1680" w:hanging="440"/>
      </w:pPr>
    </w:lvl>
    <w:lvl w:ilvl="3" w:tentative="0">
      <w:start w:val="1"/>
      <w:numFmt w:val="decimal"/>
      <w:lvlText w:val="%4."/>
      <w:lvlJc w:val="left"/>
      <w:pPr>
        <w:ind w:left="2120" w:hanging="440"/>
      </w:pPr>
    </w:lvl>
    <w:lvl w:ilvl="4" w:tentative="0">
      <w:start w:val="1"/>
      <w:numFmt w:val="lowerLetter"/>
      <w:lvlText w:val="%5)"/>
      <w:lvlJc w:val="left"/>
      <w:pPr>
        <w:ind w:left="2560" w:hanging="440"/>
      </w:pPr>
    </w:lvl>
    <w:lvl w:ilvl="5" w:tentative="0">
      <w:start w:val="1"/>
      <w:numFmt w:val="lowerRoman"/>
      <w:lvlText w:val="%6."/>
      <w:lvlJc w:val="right"/>
      <w:pPr>
        <w:ind w:left="3000" w:hanging="440"/>
      </w:pPr>
    </w:lvl>
    <w:lvl w:ilvl="6" w:tentative="0">
      <w:start w:val="1"/>
      <w:numFmt w:val="decimal"/>
      <w:lvlText w:val="%7."/>
      <w:lvlJc w:val="left"/>
      <w:pPr>
        <w:ind w:left="3440" w:hanging="440"/>
      </w:pPr>
    </w:lvl>
    <w:lvl w:ilvl="7" w:tentative="0">
      <w:start w:val="1"/>
      <w:numFmt w:val="lowerLetter"/>
      <w:lvlText w:val="%8)"/>
      <w:lvlJc w:val="left"/>
      <w:pPr>
        <w:ind w:left="3880" w:hanging="440"/>
      </w:pPr>
    </w:lvl>
    <w:lvl w:ilvl="8" w:tentative="0">
      <w:start w:val="1"/>
      <w:numFmt w:val="lowerRoman"/>
      <w:lvlText w:val="%9."/>
      <w:lvlJc w:val="right"/>
      <w:pPr>
        <w:ind w:left="4320" w:hanging="44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639"/>
    <w:rsid w:val="000D094C"/>
    <w:rsid w:val="001C51DE"/>
    <w:rsid w:val="00300C15"/>
    <w:rsid w:val="00356B7B"/>
    <w:rsid w:val="00427639"/>
    <w:rsid w:val="004606D4"/>
    <w:rsid w:val="0049403F"/>
    <w:rsid w:val="004A25C7"/>
    <w:rsid w:val="005308F9"/>
    <w:rsid w:val="005E7AB0"/>
    <w:rsid w:val="00756933"/>
    <w:rsid w:val="00784B9B"/>
    <w:rsid w:val="007F30B5"/>
    <w:rsid w:val="00872A71"/>
    <w:rsid w:val="00967A79"/>
    <w:rsid w:val="00A77430"/>
    <w:rsid w:val="00A808E4"/>
    <w:rsid w:val="00B02AFA"/>
    <w:rsid w:val="00B869DA"/>
    <w:rsid w:val="00CA7888"/>
    <w:rsid w:val="00CC5C89"/>
    <w:rsid w:val="00D17D69"/>
    <w:rsid w:val="00D53E0C"/>
    <w:rsid w:val="00E27D7C"/>
    <w:rsid w:val="00E66F08"/>
    <w:rsid w:val="00E73829"/>
    <w:rsid w:val="00E74CAB"/>
    <w:rsid w:val="00ED1BB9"/>
    <w:rsid w:val="00F12F00"/>
    <w:rsid w:val="00F6312E"/>
    <w:rsid w:val="00FD070B"/>
    <w:rsid w:val="00FD6E57"/>
    <w:rsid w:val="0C023426"/>
    <w:rsid w:val="22C60191"/>
    <w:rsid w:val="383F7D8C"/>
    <w:rsid w:val="393A3263"/>
    <w:rsid w:val="39FB1144"/>
    <w:rsid w:val="3ECF2A1E"/>
    <w:rsid w:val="404129E7"/>
    <w:rsid w:val="58C24FE4"/>
    <w:rsid w:val="78142A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numPr>
        <w:ilvl w:val="0"/>
        <w:numId w:val="1"/>
      </w:numPr>
      <w:spacing w:before="480" w:after="80"/>
      <w:outlineLvl w:val="0"/>
    </w:pPr>
    <w:rPr>
      <w:rFonts w:eastAsia="宋体" w:asciiTheme="majorHAnsi" w:hAnsiTheme="majorHAnsi" w:cstheme="majorBidi"/>
      <w:color w:val="000000" w:themeColor="text1"/>
      <w:sz w:val="48"/>
      <w:szCs w:val="48"/>
      <w14:textFill>
        <w14:solidFill>
          <w14:schemeClr w14:val="tx1"/>
        </w14:solidFill>
      </w14:textFill>
    </w:rPr>
  </w:style>
  <w:style w:type="paragraph" w:styleId="3">
    <w:name w:val="heading 2"/>
    <w:basedOn w:val="1"/>
    <w:next w:val="1"/>
    <w:link w:val="19"/>
    <w:unhideWhenUsed/>
    <w:qFormat/>
    <w:uiPriority w:val="9"/>
    <w:pPr>
      <w:keepNext/>
      <w:keepLines/>
      <w:numPr>
        <w:ilvl w:val="1"/>
        <w:numId w:val="1"/>
      </w:numPr>
      <w:spacing w:before="160" w:after="80"/>
      <w:ind w:left="567"/>
      <w:outlineLvl w:val="1"/>
    </w:pPr>
    <w:rPr>
      <w:rFonts w:eastAsia="宋体" w:asciiTheme="majorHAnsi" w:hAnsiTheme="majorHAnsi" w:cstheme="majorBidi"/>
      <w:b/>
      <w:color w:val="000000" w:themeColor="text1"/>
      <w:sz w:val="30"/>
      <w:szCs w:val="40"/>
      <w14:textFill>
        <w14:solidFill>
          <w14:schemeClr w14:val="tx1"/>
        </w14:solidFill>
      </w14:textFill>
    </w:rPr>
  </w:style>
  <w:style w:type="paragraph" w:styleId="4">
    <w:name w:val="heading 3"/>
    <w:basedOn w:val="1"/>
    <w:next w:val="1"/>
    <w:link w:val="20"/>
    <w:semiHidden/>
    <w:unhideWhenUsed/>
    <w:qFormat/>
    <w:uiPriority w:val="9"/>
    <w:pPr>
      <w:keepNext/>
      <w:keepLines/>
      <w:numPr>
        <w:ilvl w:val="2"/>
        <w:numId w:val="1"/>
      </w:numPr>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numPr>
        <w:ilvl w:val="3"/>
        <w:numId w:val="1"/>
      </w:numPr>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0"/>
    <w:pPr>
      <w:widowControl w:val="0"/>
      <w:spacing w:after="0" w:line="240" w:lineRule="auto"/>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字符"/>
    <w:basedOn w:val="17"/>
    <w:link w:val="2"/>
    <w:qFormat/>
    <w:uiPriority w:val="9"/>
    <w:rPr>
      <w:rFonts w:eastAsia="宋体" w:asciiTheme="majorHAnsi" w:hAnsiTheme="majorHAnsi" w:cstheme="majorBidi"/>
      <w:color w:val="000000" w:themeColor="text1"/>
      <w:sz w:val="48"/>
      <w:szCs w:val="48"/>
      <w14:textFill>
        <w14:solidFill>
          <w14:schemeClr w14:val="tx1"/>
        </w14:solidFill>
      </w14:textFill>
    </w:rPr>
  </w:style>
  <w:style w:type="character" w:customStyle="1" w:styleId="19">
    <w:name w:val="标题 2 字符"/>
    <w:basedOn w:val="17"/>
    <w:link w:val="3"/>
    <w:qFormat/>
    <w:uiPriority w:val="9"/>
    <w:rPr>
      <w:rFonts w:eastAsia="宋体" w:asciiTheme="majorHAnsi" w:hAnsiTheme="majorHAnsi" w:cstheme="majorBidi"/>
      <w:b/>
      <w:color w:val="000000" w:themeColor="text1"/>
      <w:sz w:val="30"/>
      <w:szCs w:val="40"/>
      <w14:textFill>
        <w14:solidFill>
          <w14:schemeClr w14:val="tx1"/>
        </w14:solidFill>
      </w14:textFill>
    </w:rPr>
  </w:style>
  <w:style w:type="character" w:customStyle="1" w:styleId="20">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uiPriority w:val="9"/>
    <w:rPr>
      <w:rFonts w:cstheme="majorBidi"/>
      <w:color w:val="2F5597" w:themeColor="accent1" w:themeShade="BF"/>
      <w:sz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733</Words>
  <Characters>745</Characters>
  <Lines>223</Lines>
  <Paragraphs>133</Paragraphs>
  <TotalTime>265</TotalTime>
  <ScaleCrop>false</ScaleCrop>
  <LinksUpToDate>false</LinksUpToDate>
  <CharactersWithSpaces>748</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2026-09-21T08:57:00Z</dcterms:created>
  <dc:creator>abc</dc:creator>
  <cp:lastModifiedBy>顾丽莎</cp:lastModifiedBy>
  <dcterms:modified xsi:type="dcterms:W3CDTF">2026-10-19T03:11:38Z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eyJoZGlkIjoiNGZhYWFiNmMzZjJjN2UyMzY4NjQ5Y2YyMjc2YzVlNzQiLCJ1c2VySWQiOiIzNjM1MDk5NzEifQ==</vt:lpwstr>
  </property>
  <property fmtid="{D5CDD505-2E9C-101B-9397-08002B2CF9AE}" pid="3" name="KSOProductBuildVer">
    <vt:lpwstr>2052-11.8.2.11019</vt:lpwstr>
  </property>
  <property fmtid="{D5CDD505-2E9C-101B-9397-08002B2CF9AE}" pid="4" name="ICV">
    <vt:lpwstr>0BDF851854D94160B1FA1E7EA46027D0_12</vt:lpwstr>
  </property>
</Properties>
</file>