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36"/>
        </w:rPr>
      </w:pPr>
      <w:r>
        <w:rPr>
          <w:rFonts w:hint="eastAsia"/>
          <w:b/>
          <w:bCs/>
          <w:sz w:val="28"/>
          <w:szCs w:val="36"/>
          <w:lang w:val="en-US" w:eastAsia="zh-CN"/>
        </w:rPr>
        <w:t>杭州市</w:t>
      </w:r>
      <w:r>
        <w:rPr>
          <w:rFonts w:hint="eastAsia"/>
          <w:b/>
          <w:bCs/>
          <w:sz w:val="28"/>
          <w:szCs w:val="36"/>
        </w:rPr>
        <w:t>临安区第一人民医院互联网医院</w:t>
      </w:r>
      <w:r>
        <w:rPr>
          <w:b/>
          <w:bCs/>
          <w:sz w:val="28"/>
          <w:szCs w:val="36"/>
        </w:rPr>
        <w:t>平台升级项目招标参数</w:t>
      </w:r>
    </w:p>
    <w:p>
      <w:pPr>
        <w:pStyle w:val="2"/>
      </w:pPr>
      <w:r>
        <w:t>项目名称</w:t>
      </w:r>
      <w:r>
        <w:rPr>
          <w:rFonts w:hint="eastAsia"/>
          <w:lang w:val="en-US" w:eastAsia="zh-CN"/>
        </w:rPr>
        <w:t>及预算</w:t>
      </w:r>
    </w:p>
    <w:p>
      <w:pPr>
        <w:rPr>
          <w:rFonts w:hint="eastAsia" w:eastAsia="宋体"/>
          <w:lang w:eastAsia="zh-CN"/>
        </w:rPr>
      </w:pPr>
      <w:r>
        <w:rPr>
          <w:rFonts w:hint="eastAsia"/>
          <w:lang w:val="en-US" w:eastAsia="zh-CN"/>
        </w:rPr>
        <w:t>杭州市</w:t>
      </w:r>
      <w:r>
        <w:rPr>
          <w:rFonts w:hint="eastAsia"/>
        </w:rPr>
        <w:t>临安区第一人民医院互联网医院平</w:t>
      </w:r>
      <w:r>
        <w:t>台升级项目</w:t>
      </w:r>
      <w:r>
        <w:rPr>
          <w:rFonts w:hint="eastAsia"/>
          <w:lang w:eastAsia="zh-CN"/>
        </w:rPr>
        <w:t>（</w:t>
      </w:r>
      <w:r>
        <w:rPr>
          <w:rFonts w:hint="eastAsia"/>
          <w:lang w:val="en-US" w:eastAsia="zh-CN"/>
        </w:rPr>
        <w:t>预算30万，包含第三方接口费</w:t>
      </w:r>
      <w:r>
        <w:rPr>
          <w:rFonts w:hint="eastAsia"/>
          <w:lang w:eastAsia="zh-CN"/>
        </w:rPr>
        <w:t>）</w:t>
      </w:r>
    </w:p>
    <w:p/>
    <w:p>
      <w:pPr>
        <w:pStyle w:val="2"/>
      </w:pPr>
      <w:r>
        <w:t>项目要求</w:t>
      </w:r>
    </w:p>
    <w:p>
      <w:pPr>
        <w:pStyle w:val="3"/>
      </w:pPr>
      <w:r>
        <w:t>项目目标</w:t>
      </w:r>
    </w:p>
    <w:p>
      <w:r>
        <w:t>根据国家、</w:t>
      </w:r>
      <w:r>
        <w:rPr>
          <w:rFonts w:hint="eastAsia"/>
        </w:rPr>
        <w:t>浙江省</w:t>
      </w:r>
      <w:r>
        <w:t>政府关于“互联网+医疗健康”等相关政策文件的要求，结合现阶段</w:t>
      </w:r>
      <w:r>
        <w:rPr>
          <w:rFonts w:hint="eastAsia"/>
        </w:rPr>
        <w:t>医院互联网医院</w:t>
      </w:r>
      <w:r>
        <w:t>平台的运行情况和患者需求，对现有</w:t>
      </w:r>
      <w:r>
        <w:rPr>
          <w:rFonts w:hint="eastAsia"/>
        </w:rPr>
        <w:t>互联网医院</w:t>
      </w:r>
      <w:r>
        <w:t>平台进行升级改造，实现医院业务的拓展和延伸，并完成与院内信息系统的深入对接，</w:t>
      </w:r>
      <w:bookmarkStart w:id="6" w:name="_GoBack"/>
      <w:bookmarkEnd w:id="6"/>
      <w:r>
        <w:t>形成完整的全面的互联网医疗服务体系和流程闭环，进一步优化医院业务流程，提升患者业务体验，提升医院管理效能。</w:t>
      </w:r>
    </w:p>
    <w:p>
      <w:pPr>
        <w:pStyle w:val="3"/>
      </w:pPr>
      <w:r>
        <w:rPr>
          <w:rFonts w:hint="eastAsia"/>
        </w:rPr>
        <w:t>功能清单</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949"/>
        <w:gridCol w:w="1702"/>
        <w:gridCol w:w="2409"/>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auto"/>
            <w:vAlign w:val="center"/>
          </w:tcPr>
          <w:p>
            <w:pPr>
              <w:ind w:firstLine="0" w:firstLineChars="0"/>
              <w:jc w:val="center"/>
              <w:rPr>
                <w:szCs w:val="24"/>
              </w:rPr>
            </w:pPr>
            <w:r>
              <w:rPr>
                <w:rFonts w:hint="eastAsia"/>
                <w:szCs w:val="24"/>
              </w:rPr>
              <w:t>序号</w:t>
            </w:r>
          </w:p>
        </w:tc>
        <w:tc>
          <w:tcPr>
            <w:tcW w:w="949" w:type="dxa"/>
            <w:shd w:val="clear" w:color="auto" w:fill="auto"/>
            <w:vAlign w:val="center"/>
          </w:tcPr>
          <w:p>
            <w:pPr>
              <w:ind w:firstLine="0" w:firstLineChars="0"/>
              <w:jc w:val="center"/>
              <w:rPr>
                <w:szCs w:val="24"/>
              </w:rPr>
            </w:pPr>
            <w:r>
              <w:rPr>
                <w:rFonts w:hint="eastAsia"/>
                <w:szCs w:val="24"/>
              </w:rPr>
              <w:t>系统模块</w:t>
            </w:r>
          </w:p>
        </w:tc>
        <w:tc>
          <w:tcPr>
            <w:tcW w:w="1702" w:type="dxa"/>
            <w:shd w:val="clear" w:color="auto" w:fill="auto"/>
            <w:vAlign w:val="center"/>
          </w:tcPr>
          <w:p>
            <w:pPr>
              <w:ind w:firstLine="0" w:firstLineChars="0"/>
              <w:jc w:val="center"/>
              <w:rPr>
                <w:szCs w:val="24"/>
              </w:rPr>
            </w:pPr>
            <w:r>
              <w:rPr>
                <w:rFonts w:hint="eastAsia"/>
                <w:szCs w:val="24"/>
              </w:rPr>
              <w:t>子模块</w:t>
            </w:r>
          </w:p>
        </w:tc>
        <w:tc>
          <w:tcPr>
            <w:tcW w:w="2409" w:type="dxa"/>
            <w:shd w:val="clear" w:color="auto" w:fill="auto"/>
            <w:vAlign w:val="center"/>
          </w:tcPr>
          <w:p>
            <w:pPr>
              <w:ind w:firstLine="0" w:firstLineChars="0"/>
              <w:jc w:val="center"/>
              <w:rPr>
                <w:szCs w:val="24"/>
              </w:rPr>
            </w:pPr>
            <w:r>
              <w:rPr>
                <w:rFonts w:hint="eastAsia"/>
                <w:szCs w:val="24"/>
              </w:rPr>
              <w:t>一级功能</w:t>
            </w:r>
          </w:p>
        </w:tc>
        <w:tc>
          <w:tcPr>
            <w:tcW w:w="2625" w:type="dxa"/>
            <w:shd w:val="clear" w:color="auto" w:fill="auto"/>
            <w:vAlign w:val="center"/>
          </w:tcPr>
          <w:p>
            <w:pPr>
              <w:ind w:firstLine="0" w:firstLineChars="0"/>
              <w:jc w:val="center"/>
              <w:rPr>
                <w:szCs w:val="24"/>
              </w:rPr>
            </w:pPr>
            <w:r>
              <w:rPr>
                <w:rFonts w:hint="eastAsia"/>
                <w:szCs w:val="24"/>
              </w:rPr>
              <w:t>二级功能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1</w:t>
            </w:r>
          </w:p>
        </w:tc>
        <w:tc>
          <w:tcPr>
            <w:tcW w:w="949" w:type="dxa"/>
            <w:vMerge w:val="restart"/>
            <w:shd w:val="clear" w:color="auto" w:fill="auto"/>
            <w:vAlign w:val="center"/>
          </w:tcPr>
          <w:p>
            <w:pPr>
              <w:ind w:firstLine="0" w:firstLineChars="0"/>
              <w:rPr>
                <w:szCs w:val="24"/>
              </w:rPr>
            </w:pPr>
            <w:r>
              <w:rPr>
                <w:rFonts w:hint="eastAsia"/>
                <w:szCs w:val="24"/>
              </w:rPr>
              <w:t>在线诊疗服务升级</w:t>
            </w:r>
          </w:p>
        </w:tc>
        <w:tc>
          <w:tcPr>
            <w:tcW w:w="1702" w:type="dxa"/>
            <w:vMerge w:val="restart"/>
            <w:shd w:val="clear" w:color="auto" w:fill="auto"/>
            <w:vAlign w:val="center"/>
          </w:tcPr>
          <w:p>
            <w:pPr>
              <w:ind w:firstLine="0" w:firstLineChars="0"/>
              <w:rPr>
                <w:szCs w:val="24"/>
              </w:rPr>
            </w:pPr>
            <w:r>
              <w:rPr>
                <w:rFonts w:hint="eastAsia"/>
                <w:szCs w:val="24"/>
              </w:rPr>
              <w:t>在线复诊升级</w:t>
            </w:r>
          </w:p>
        </w:tc>
        <w:tc>
          <w:tcPr>
            <w:tcW w:w="2409" w:type="dxa"/>
            <w:shd w:val="clear" w:color="auto" w:fill="auto"/>
            <w:vAlign w:val="center"/>
          </w:tcPr>
          <w:p>
            <w:pPr>
              <w:ind w:firstLine="0" w:firstLineChars="0"/>
              <w:rPr>
                <w:szCs w:val="24"/>
              </w:rPr>
            </w:pPr>
            <w:r>
              <w:rPr>
                <w:rFonts w:hint="eastAsia"/>
                <w:szCs w:val="24"/>
              </w:rPr>
              <w:t>排班管理</w:t>
            </w:r>
          </w:p>
        </w:tc>
        <w:tc>
          <w:tcPr>
            <w:tcW w:w="2625" w:type="dxa"/>
            <w:shd w:val="clear" w:color="auto" w:fill="auto"/>
            <w:vAlign w:val="center"/>
          </w:tcPr>
          <w:p>
            <w:pPr>
              <w:ind w:firstLine="0" w:firstLineChars="0"/>
              <w:rPr>
                <w:szCs w:val="24"/>
              </w:rPr>
            </w:pPr>
            <w:r>
              <w:rPr>
                <w:rFonts w:hint="eastAsia"/>
                <w:szCs w:val="24"/>
              </w:rPr>
              <w:t>对接his排班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复诊申请升级</w:t>
            </w:r>
          </w:p>
        </w:tc>
        <w:tc>
          <w:tcPr>
            <w:tcW w:w="2625" w:type="dxa"/>
            <w:shd w:val="clear" w:color="auto" w:fill="auto"/>
            <w:vAlign w:val="center"/>
          </w:tcPr>
          <w:p>
            <w:pPr>
              <w:ind w:firstLine="0" w:firstLineChars="0"/>
              <w:rPr>
                <w:szCs w:val="24"/>
              </w:rPr>
            </w:pPr>
            <w:r>
              <w:rPr>
                <w:rFonts w:hint="eastAsia"/>
                <w:szCs w:val="24"/>
              </w:rPr>
              <w:t>复诊判断对接his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restart"/>
            <w:shd w:val="clear" w:color="auto" w:fill="auto"/>
            <w:vAlign w:val="center"/>
          </w:tcPr>
          <w:p>
            <w:pPr>
              <w:ind w:firstLine="0" w:firstLineChars="0"/>
              <w:rPr>
                <w:szCs w:val="24"/>
              </w:rPr>
            </w:pPr>
            <w:r>
              <w:rPr>
                <w:rFonts w:hint="eastAsia"/>
                <w:szCs w:val="24"/>
              </w:rPr>
              <w:t>复诊病历升级</w:t>
            </w:r>
          </w:p>
        </w:tc>
        <w:tc>
          <w:tcPr>
            <w:tcW w:w="2625" w:type="dxa"/>
            <w:shd w:val="clear" w:color="auto" w:fill="auto"/>
            <w:vAlign w:val="center"/>
          </w:tcPr>
          <w:p>
            <w:pPr>
              <w:ind w:firstLine="0" w:firstLineChars="0"/>
              <w:rPr>
                <w:szCs w:val="24"/>
              </w:rPr>
            </w:pPr>
            <w:r>
              <w:rPr>
                <w:rFonts w:hint="eastAsia"/>
                <w:szCs w:val="24"/>
              </w:rPr>
              <w:t>病历内容管理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病历模版管理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病历调阅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病历调阅安全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病历回写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2</w:t>
            </w:r>
          </w:p>
        </w:tc>
        <w:tc>
          <w:tcPr>
            <w:tcW w:w="949" w:type="dxa"/>
            <w:vMerge w:val="continue"/>
            <w:shd w:val="clear" w:color="auto" w:fill="auto"/>
            <w:vAlign w:val="center"/>
          </w:tcPr>
          <w:p>
            <w:pPr>
              <w:ind w:firstLine="0" w:firstLineChars="0"/>
              <w:rPr>
                <w:szCs w:val="24"/>
              </w:rPr>
            </w:pPr>
          </w:p>
        </w:tc>
        <w:tc>
          <w:tcPr>
            <w:tcW w:w="1702" w:type="dxa"/>
            <w:vMerge w:val="restart"/>
            <w:shd w:val="clear" w:color="auto" w:fill="auto"/>
            <w:vAlign w:val="center"/>
          </w:tcPr>
          <w:p>
            <w:pPr>
              <w:ind w:firstLine="0" w:firstLineChars="0"/>
              <w:rPr>
                <w:szCs w:val="24"/>
              </w:rPr>
            </w:pPr>
            <w:r>
              <w:rPr>
                <w:rFonts w:hint="eastAsia"/>
                <w:szCs w:val="24"/>
              </w:rPr>
              <w:t>在线医嘱（线上开方）升级</w:t>
            </w:r>
          </w:p>
        </w:tc>
        <w:tc>
          <w:tcPr>
            <w:tcW w:w="2409" w:type="dxa"/>
            <w:vMerge w:val="restart"/>
            <w:shd w:val="clear" w:color="auto" w:fill="auto"/>
            <w:vAlign w:val="center"/>
          </w:tcPr>
          <w:p>
            <w:pPr>
              <w:ind w:firstLine="0" w:firstLineChars="0"/>
              <w:rPr>
                <w:szCs w:val="24"/>
              </w:rPr>
            </w:pPr>
            <w:r>
              <w:rPr>
                <w:rFonts w:hint="eastAsia"/>
                <w:szCs w:val="24"/>
              </w:rPr>
              <w:t>在线开方升级</w:t>
            </w:r>
          </w:p>
        </w:tc>
        <w:tc>
          <w:tcPr>
            <w:tcW w:w="2625" w:type="dxa"/>
            <w:shd w:val="clear" w:color="auto" w:fill="auto"/>
            <w:vAlign w:val="center"/>
          </w:tcPr>
          <w:p>
            <w:pPr>
              <w:ind w:firstLine="0" w:firstLineChars="0"/>
              <w:rPr>
                <w:szCs w:val="24"/>
              </w:rPr>
            </w:pPr>
            <w:r>
              <w:rPr>
                <w:rFonts w:hint="eastAsia"/>
                <w:szCs w:val="24"/>
              </w:rPr>
              <w:t>历史处方应用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处方回写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对接医生电子签名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restart"/>
            <w:shd w:val="clear" w:color="auto" w:fill="auto"/>
            <w:vAlign w:val="center"/>
          </w:tcPr>
          <w:p>
            <w:pPr>
              <w:ind w:firstLine="0" w:firstLineChars="0"/>
              <w:rPr>
                <w:szCs w:val="24"/>
              </w:rPr>
            </w:pPr>
            <w:r>
              <w:rPr>
                <w:rFonts w:hint="eastAsia"/>
                <w:szCs w:val="24"/>
              </w:rPr>
              <w:t>处方审核升级</w:t>
            </w:r>
          </w:p>
        </w:tc>
        <w:tc>
          <w:tcPr>
            <w:tcW w:w="2625" w:type="dxa"/>
            <w:shd w:val="clear" w:color="auto" w:fill="auto"/>
            <w:vAlign w:val="center"/>
          </w:tcPr>
          <w:p>
            <w:pPr>
              <w:ind w:firstLine="0" w:firstLineChars="0"/>
              <w:rPr>
                <w:szCs w:val="24"/>
              </w:rPr>
            </w:pPr>
            <w:r>
              <w:rPr>
                <w:rFonts w:hint="eastAsia"/>
                <w:szCs w:val="24"/>
              </w:rPr>
              <w:t>对接药师电子签名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对接合理用药（智能预审）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3</w:t>
            </w:r>
          </w:p>
        </w:tc>
        <w:tc>
          <w:tcPr>
            <w:tcW w:w="949" w:type="dxa"/>
            <w:vMerge w:val="continue"/>
            <w:shd w:val="clear" w:color="auto" w:fill="auto"/>
            <w:vAlign w:val="center"/>
          </w:tcPr>
          <w:p>
            <w:pPr>
              <w:ind w:firstLine="0" w:firstLineChars="0"/>
              <w:rPr>
                <w:szCs w:val="24"/>
              </w:rPr>
            </w:pPr>
          </w:p>
        </w:tc>
        <w:tc>
          <w:tcPr>
            <w:tcW w:w="1702" w:type="dxa"/>
            <w:vMerge w:val="restart"/>
            <w:shd w:val="clear" w:color="auto" w:fill="auto"/>
            <w:vAlign w:val="center"/>
          </w:tcPr>
          <w:p>
            <w:pPr>
              <w:ind w:firstLine="0" w:firstLineChars="0"/>
              <w:rPr>
                <w:szCs w:val="24"/>
              </w:rPr>
            </w:pPr>
            <w:r>
              <w:rPr>
                <w:rFonts w:hint="eastAsia"/>
                <w:szCs w:val="24"/>
              </w:rPr>
              <w:t>处方流转升级</w:t>
            </w:r>
          </w:p>
        </w:tc>
        <w:tc>
          <w:tcPr>
            <w:tcW w:w="2409" w:type="dxa"/>
            <w:vMerge w:val="restart"/>
            <w:shd w:val="clear" w:color="auto" w:fill="auto"/>
            <w:vAlign w:val="center"/>
          </w:tcPr>
          <w:p>
            <w:pPr>
              <w:ind w:firstLine="0" w:firstLineChars="0"/>
              <w:rPr>
                <w:szCs w:val="24"/>
              </w:rPr>
            </w:pPr>
            <w:r>
              <w:rPr>
                <w:rFonts w:hint="eastAsia"/>
                <w:szCs w:val="24"/>
              </w:rPr>
              <w:t>院内流转</w:t>
            </w:r>
          </w:p>
        </w:tc>
        <w:tc>
          <w:tcPr>
            <w:tcW w:w="2625" w:type="dxa"/>
            <w:shd w:val="clear" w:color="auto" w:fill="auto"/>
            <w:vAlign w:val="center"/>
          </w:tcPr>
          <w:p>
            <w:pPr>
              <w:ind w:firstLine="0" w:firstLineChars="0"/>
              <w:rPr>
                <w:szCs w:val="24"/>
              </w:rPr>
            </w:pPr>
            <w:r>
              <w:rPr>
                <w:rFonts w:hint="eastAsia"/>
                <w:szCs w:val="24"/>
              </w:rPr>
              <w:t>药品目录管理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院内取药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医院药房配送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4</w:t>
            </w:r>
          </w:p>
        </w:tc>
        <w:tc>
          <w:tcPr>
            <w:tcW w:w="949" w:type="dxa"/>
            <w:vMerge w:val="continue"/>
            <w:shd w:val="clear" w:color="auto" w:fill="auto"/>
            <w:vAlign w:val="center"/>
          </w:tcPr>
          <w:p>
            <w:pPr>
              <w:ind w:firstLine="0" w:firstLineChars="0"/>
              <w:rPr>
                <w:szCs w:val="24"/>
              </w:rPr>
            </w:pPr>
          </w:p>
        </w:tc>
        <w:tc>
          <w:tcPr>
            <w:tcW w:w="1702" w:type="dxa"/>
            <w:vMerge w:val="restart"/>
            <w:shd w:val="clear" w:color="auto" w:fill="auto"/>
            <w:vAlign w:val="center"/>
          </w:tcPr>
          <w:p>
            <w:pPr>
              <w:ind w:firstLine="0" w:firstLineChars="0"/>
              <w:rPr>
                <w:szCs w:val="24"/>
              </w:rPr>
            </w:pPr>
            <w:r>
              <w:rPr>
                <w:rFonts w:hint="eastAsia"/>
                <w:szCs w:val="24"/>
              </w:rPr>
              <w:t>在线支付升级</w:t>
            </w:r>
          </w:p>
        </w:tc>
        <w:tc>
          <w:tcPr>
            <w:tcW w:w="2409" w:type="dxa"/>
            <w:shd w:val="clear" w:color="auto" w:fill="auto"/>
            <w:vAlign w:val="center"/>
          </w:tcPr>
          <w:p>
            <w:pPr>
              <w:ind w:firstLine="0" w:firstLineChars="0"/>
              <w:rPr>
                <w:szCs w:val="24"/>
              </w:rPr>
            </w:pPr>
            <w:r>
              <w:rPr>
                <w:rFonts w:hint="eastAsia"/>
                <w:szCs w:val="24"/>
              </w:rPr>
              <w:t>复诊支付</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药品费用支付</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检验检查单支付</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在线退费</w:t>
            </w:r>
          </w:p>
        </w:tc>
        <w:tc>
          <w:tcPr>
            <w:tcW w:w="2625" w:type="dxa"/>
            <w:shd w:val="clear" w:color="auto" w:fill="auto"/>
            <w:noWrap/>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医保在线支付</w:t>
            </w:r>
          </w:p>
        </w:tc>
        <w:tc>
          <w:tcPr>
            <w:tcW w:w="2625" w:type="dxa"/>
            <w:shd w:val="clear" w:color="auto" w:fill="auto"/>
            <w:noWrap/>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5</w:t>
            </w:r>
          </w:p>
        </w:tc>
        <w:tc>
          <w:tcPr>
            <w:tcW w:w="949" w:type="dxa"/>
            <w:vMerge w:val="continue"/>
            <w:shd w:val="clear" w:color="auto" w:fill="auto"/>
            <w:vAlign w:val="center"/>
          </w:tcPr>
          <w:p>
            <w:pPr>
              <w:ind w:firstLine="0" w:firstLineChars="0"/>
              <w:rPr>
                <w:szCs w:val="24"/>
              </w:rPr>
            </w:pPr>
          </w:p>
        </w:tc>
        <w:tc>
          <w:tcPr>
            <w:tcW w:w="1702" w:type="dxa"/>
            <w:vMerge w:val="restart"/>
            <w:shd w:val="clear" w:color="auto" w:fill="auto"/>
            <w:vAlign w:val="center"/>
          </w:tcPr>
          <w:p>
            <w:pPr>
              <w:ind w:firstLine="0" w:firstLineChars="0"/>
              <w:rPr>
                <w:szCs w:val="24"/>
              </w:rPr>
            </w:pPr>
            <w:r>
              <w:rPr>
                <w:rFonts w:hint="eastAsia"/>
                <w:szCs w:val="24"/>
              </w:rPr>
              <w:t>在线检验检查开单</w:t>
            </w:r>
          </w:p>
        </w:tc>
        <w:tc>
          <w:tcPr>
            <w:tcW w:w="2409" w:type="dxa"/>
            <w:vMerge w:val="restart"/>
            <w:shd w:val="clear" w:color="auto" w:fill="auto"/>
            <w:vAlign w:val="center"/>
          </w:tcPr>
          <w:p>
            <w:pPr>
              <w:ind w:firstLine="0" w:firstLineChars="0"/>
              <w:rPr>
                <w:szCs w:val="24"/>
              </w:rPr>
            </w:pPr>
            <w:r>
              <w:rPr>
                <w:rFonts w:hint="eastAsia"/>
                <w:szCs w:val="24"/>
              </w:rPr>
              <w:t>配置管理</w:t>
            </w:r>
          </w:p>
        </w:tc>
        <w:tc>
          <w:tcPr>
            <w:tcW w:w="2625" w:type="dxa"/>
            <w:shd w:val="clear" w:color="auto" w:fill="auto"/>
            <w:vAlign w:val="center"/>
          </w:tcPr>
          <w:p>
            <w:pPr>
              <w:ind w:firstLine="0" w:firstLineChars="0"/>
              <w:rPr>
                <w:szCs w:val="24"/>
              </w:rPr>
            </w:pPr>
            <w:r>
              <w:rPr>
                <w:rFonts w:hint="eastAsia"/>
                <w:szCs w:val="24"/>
              </w:rPr>
              <w:t>检验检查基础数据维护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检验检查基础数据同步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支付规则配置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vMerge w:val="continue"/>
            <w:shd w:val="clear" w:color="auto" w:fill="auto"/>
            <w:vAlign w:val="center"/>
          </w:tcPr>
          <w:p>
            <w:pPr>
              <w:ind w:firstLine="0" w:firstLineChars="0"/>
              <w:rPr>
                <w:szCs w:val="24"/>
              </w:rPr>
            </w:pPr>
          </w:p>
        </w:tc>
        <w:tc>
          <w:tcPr>
            <w:tcW w:w="2625" w:type="dxa"/>
            <w:shd w:val="clear" w:color="auto" w:fill="auto"/>
            <w:vAlign w:val="center"/>
          </w:tcPr>
          <w:p>
            <w:pPr>
              <w:ind w:firstLine="0" w:firstLineChars="0"/>
              <w:rPr>
                <w:szCs w:val="24"/>
              </w:rPr>
            </w:pPr>
            <w:r>
              <w:rPr>
                <w:rFonts w:hint="eastAsia"/>
                <w:szCs w:val="24"/>
              </w:rPr>
              <w:t>开单规则设置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在线检验检查开单</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auto"/>
            <w:vAlign w:val="center"/>
          </w:tcPr>
          <w:p>
            <w:pPr>
              <w:ind w:firstLine="0" w:firstLineChars="0"/>
              <w:jc w:val="center"/>
              <w:rPr>
                <w:szCs w:val="24"/>
              </w:rPr>
            </w:pPr>
            <w:r>
              <w:rPr>
                <w:rFonts w:hint="eastAsia"/>
                <w:szCs w:val="24"/>
              </w:rPr>
              <w:t>6</w:t>
            </w:r>
          </w:p>
        </w:tc>
        <w:tc>
          <w:tcPr>
            <w:tcW w:w="949" w:type="dxa"/>
            <w:vMerge w:val="continue"/>
            <w:shd w:val="clear" w:color="auto" w:fill="auto"/>
            <w:vAlign w:val="center"/>
          </w:tcPr>
          <w:p>
            <w:pPr>
              <w:ind w:firstLine="0" w:firstLineChars="0"/>
              <w:rPr>
                <w:szCs w:val="24"/>
              </w:rPr>
            </w:pPr>
          </w:p>
        </w:tc>
        <w:tc>
          <w:tcPr>
            <w:tcW w:w="1702" w:type="dxa"/>
            <w:shd w:val="clear" w:color="auto" w:fill="auto"/>
            <w:vAlign w:val="center"/>
          </w:tcPr>
          <w:p>
            <w:pPr>
              <w:ind w:firstLine="0" w:firstLineChars="0"/>
              <w:rPr>
                <w:szCs w:val="24"/>
              </w:rPr>
            </w:pPr>
            <w:r>
              <w:rPr>
                <w:rFonts w:hint="eastAsia"/>
                <w:szCs w:val="24"/>
              </w:rPr>
              <w:t>在线检验检查预约</w:t>
            </w:r>
          </w:p>
        </w:tc>
        <w:tc>
          <w:tcPr>
            <w:tcW w:w="2409" w:type="dxa"/>
            <w:shd w:val="clear" w:color="auto" w:fill="auto"/>
            <w:vAlign w:val="center"/>
          </w:tcPr>
          <w:p>
            <w:pPr>
              <w:ind w:firstLine="0" w:firstLineChars="0"/>
              <w:rPr>
                <w:szCs w:val="24"/>
              </w:rPr>
            </w:pPr>
            <w:r>
              <w:rPr>
                <w:rFonts w:hint="eastAsia"/>
                <w:szCs w:val="24"/>
              </w:rPr>
              <w:t>在线检验检查患者预约</w:t>
            </w:r>
          </w:p>
        </w:tc>
        <w:tc>
          <w:tcPr>
            <w:tcW w:w="2625" w:type="dxa"/>
            <w:shd w:val="clear" w:color="auto" w:fill="auto"/>
            <w:vAlign w:val="center"/>
          </w:tcPr>
          <w:p>
            <w:pPr>
              <w:ind w:firstLine="0" w:firstLineChars="0"/>
              <w:rPr>
                <w:szCs w:val="24"/>
              </w:rPr>
            </w:pPr>
            <w:r>
              <w:rPr>
                <w:rFonts w:hint="eastAsia"/>
                <w:szCs w:val="24"/>
              </w:rPr>
              <w:t>医技预约系统排班号源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7</w:t>
            </w:r>
          </w:p>
        </w:tc>
        <w:tc>
          <w:tcPr>
            <w:tcW w:w="949" w:type="dxa"/>
            <w:vMerge w:val="continue"/>
            <w:shd w:val="clear" w:color="auto" w:fill="auto"/>
            <w:vAlign w:val="center"/>
          </w:tcPr>
          <w:p>
            <w:pPr>
              <w:ind w:firstLine="0" w:firstLineChars="0"/>
              <w:rPr>
                <w:szCs w:val="24"/>
              </w:rPr>
            </w:pPr>
          </w:p>
        </w:tc>
        <w:tc>
          <w:tcPr>
            <w:tcW w:w="1702" w:type="dxa"/>
            <w:vMerge w:val="restart"/>
            <w:shd w:val="clear" w:color="auto" w:fill="auto"/>
            <w:vAlign w:val="center"/>
          </w:tcPr>
          <w:p>
            <w:pPr>
              <w:ind w:firstLine="0" w:firstLineChars="0"/>
              <w:rPr>
                <w:szCs w:val="24"/>
              </w:rPr>
            </w:pPr>
            <w:r>
              <w:rPr>
                <w:rFonts w:hint="eastAsia"/>
                <w:szCs w:val="24"/>
              </w:rPr>
              <w:t>便捷配药</w:t>
            </w:r>
          </w:p>
        </w:tc>
        <w:tc>
          <w:tcPr>
            <w:tcW w:w="2409" w:type="dxa"/>
            <w:shd w:val="clear" w:color="auto" w:fill="auto"/>
            <w:vAlign w:val="center"/>
          </w:tcPr>
          <w:p>
            <w:pPr>
              <w:ind w:firstLine="0" w:firstLineChars="0"/>
              <w:rPr>
                <w:szCs w:val="24"/>
              </w:rPr>
            </w:pPr>
            <w:r>
              <w:rPr>
                <w:rFonts w:hint="eastAsia"/>
                <w:szCs w:val="24"/>
              </w:rPr>
              <w:t>便捷配药配置</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配药评估</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配药申请</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jc w:val="center"/>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取药方式</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auto"/>
            <w:vAlign w:val="center"/>
          </w:tcPr>
          <w:p>
            <w:pPr>
              <w:ind w:firstLine="0" w:firstLineChars="0"/>
              <w:jc w:val="center"/>
              <w:rPr>
                <w:szCs w:val="24"/>
              </w:rPr>
            </w:pPr>
            <w:r>
              <w:rPr>
                <w:rFonts w:hint="eastAsia"/>
                <w:szCs w:val="24"/>
              </w:rPr>
              <w:t>8</w:t>
            </w:r>
          </w:p>
        </w:tc>
        <w:tc>
          <w:tcPr>
            <w:tcW w:w="949" w:type="dxa"/>
            <w:vMerge w:val="restart"/>
            <w:shd w:val="clear" w:color="auto" w:fill="auto"/>
            <w:vAlign w:val="center"/>
          </w:tcPr>
          <w:p>
            <w:pPr>
              <w:ind w:firstLine="0" w:firstLineChars="0"/>
              <w:rPr>
                <w:szCs w:val="24"/>
              </w:rPr>
            </w:pPr>
            <w:r>
              <w:rPr>
                <w:rFonts w:hint="eastAsia"/>
                <w:szCs w:val="24"/>
              </w:rPr>
              <w:t>接口对接服务</w:t>
            </w:r>
          </w:p>
        </w:tc>
        <w:tc>
          <w:tcPr>
            <w:tcW w:w="1702" w:type="dxa"/>
            <w:shd w:val="clear" w:color="auto" w:fill="auto"/>
            <w:vAlign w:val="center"/>
          </w:tcPr>
          <w:p>
            <w:pPr>
              <w:ind w:firstLine="0" w:firstLineChars="0"/>
              <w:rPr>
                <w:szCs w:val="24"/>
              </w:rPr>
            </w:pPr>
            <w:r>
              <w:rPr>
                <w:rFonts w:hint="eastAsia"/>
                <w:szCs w:val="24"/>
              </w:rPr>
              <w:t>第三方服务接口</w:t>
            </w:r>
          </w:p>
        </w:tc>
        <w:tc>
          <w:tcPr>
            <w:tcW w:w="2409" w:type="dxa"/>
            <w:shd w:val="clear" w:color="auto" w:fill="auto"/>
            <w:vAlign w:val="center"/>
          </w:tcPr>
          <w:p>
            <w:pPr>
              <w:ind w:firstLine="0" w:firstLineChars="0"/>
              <w:rPr>
                <w:szCs w:val="24"/>
              </w:rPr>
            </w:pPr>
            <w:r>
              <w:rPr>
                <w:rFonts w:hint="eastAsia"/>
                <w:szCs w:val="24"/>
              </w:rPr>
              <w:t>电子签名接口</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shd w:val="clear" w:color="auto" w:fill="auto"/>
            <w:vAlign w:val="center"/>
          </w:tcPr>
          <w:p>
            <w:pPr>
              <w:ind w:firstLine="0" w:firstLineChars="0"/>
              <w:jc w:val="center"/>
              <w:rPr>
                <w:szCs w:val="24"/>
              </w:rPr>
            </w:pPr>
            <w:r>
              <w:rPr>
                <w:rFonts w:hint="eastAsia"/>
                <w:szCs w:val="24"/>
              </w:rPr>
              <w:t>9</w:t>
            </w:r>
          </w:p>
        </w:tc>
        <w:tc>
          <w:tcPr>
            <w:tcW w:w="949" w:type="dxa"/>
            <w:vMerge w:val="continue"/>
            <w:shd w:val="clear" w:color="auto" w:fill="auto"/>
            <w:vAlign w:val="center"/>
          </w:tcPr>
          <w:p>
            <w:pPr>
              <w:ind w:firstLine="0" w:firstLineChars="0"/>
              <w:rPr>
                <w:szCs w:val="24"/>
              </w:rPr>
            </w:pPr>
          </w:p>
        </w:tc>
        <w:tc>
          <w:tcPr>
            <w:tcW w:w="1702" w:type="dxa"/>
            <w:vMerge w:val="restart"/>
            <w:shd w:val="clear" w:color="auto" w:fill="auto"/>
            <w:vAlign w:val="center"/>
          </w:tcPr>
          <w:p>
            <w:pPr>
              <w:ind w:firstLine="0" w:firstLineChars="0"/>
              <w:rPr>
                <w:szCs w:val="24"/>
              </w:rPr>
            </w:pPr>
            <w:r>
              <w:rPr>
                <w:rFonts w:hint="eastAsia"/>
                <w:szCs w:val="24"/>
              </w:rPr>
              <w:t>HIS服务接口</w:t>
            </w:r>
          </w:p>
        </w:tc>
        <w:tc>
          <w:tcPr>
            <w:tcW w:w="2409" w:type="dxa"/>
            <w:shd w:val="clear" w:color="auto" w:fill="auto"/>
            <w:vAlign w:val="center"/>
          </w:tcPr>
          <w:p>
            <w:pPr>
              <w:ind w:firstLine="0" w:firstLineChars="0"/>
              <w:rPr>
                <w:szCs w:val="24"/>
              </w:rPr>
            </w:pPr>
            <w:r>
              <w:rPr>
                <w:rFonts w:hint="eastAsia"/>
                <w:szCs w:val="24"/>
              </w:rPr>
              <w:t>在线诊疗基础接口</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在线诊疗扩展接口</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检查检验接口</w:t>
            </w:r>
          </w:p>
        </w:tc>
        <w:tc>
          <w:tcPr>
            <w:tcW w:w="2625" w:type="dxa"/>
            <w:shd w:val="clear" w:color="auto" w:fill="auto"/>
            <w:vAlign w:val="center"/>
          </w:tcPr>
          <w:p>
            <w:pPr>
              <w:ind w:firstLine="0" w:firstLineChars="0"/>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shd w:val="clear" w:color="auto" w:fill="auto"/>
            <w:vAlign w:val="center"/>
          </w:tcPr>
          <w:p>
            <w:pPr>
              <w:ind w:firstLine="0" w:firstLineChars="0"/>
              <w:rPr>
                <w:szCs w:val="24"/>
              </w:rPr>
            </w:pPr>
          </w:p>
        </w:tc>
        <w:tc>
          <w:tcPr>
            <w:tcW w:w="949" w:type="dxa"/>
            <w:vMerge w:val="continue"/>
            <w:shd w:val="clear" w:color="auto" w:fill="auto"/>
            <w:vAlign w:val="center"/>
          </w:tcPr>
          <w:p>
            <w:pPr>
              <w:ind w:firstLine="0" w:firstLineChars="0"/>
              <w:rPr>
                <w:szCs w:val="24"/>
              </w:rPr>
            </w:pPr>
          </w:p>
        </w:tc>
        <w:tc>
          <w:tcPr>
            <w:tcW w:w="1702" w:type="dxa"/>
            <w:vMerge w:val="continue"/>
            <w:shd w:val="clear" w:color="auto" w:fill="auto"/>
            <w:vAlign w:val="center"/>
          </w:tcPr>
          <w:p>
            <w:pPr>
              <w:ind w:firstLine="0" w:firstLineChars="0"/>
              <w:rPr>
                <w:szCs w:val="24"/>
              </w:rPr>
            </w:pPr>
          </w:p>
        </w:tc>
        <w:tc>
          <w:tcPr>
            <w:tcW w:w="2409" w:type="dxa"/>
            <w:shd w:val="clear" w:color="auto" w:fill="auto"/>
            <w:vAlign w:val="center"/>
          </w:tcPr>
          <w:p>
            <w:pPr>
              <w:ind w:firstLine="0" w:firstLineChars="0"/>
              <w:rPr>
                <w:szCs w:val="24"/>
              </w:rPr>
            </w:pPr>
            <w:r>
              <w:rPr>
                <w:rFonts w:hint="eastAsia"/>
                <w:szCs w:val="24"/>
              </w:rPr>
              <w:t>合理用药接口</w:t>
            </w:r>
          </w:p>
        </w:tc>
        <w:tc>
          <w:tcPr>
            <w:tcW w:w="2625" w:type="dxa"/>
            <w:shd w:val="clear" w:color="auto" w:fill="auto"/>
            <w:vAlign w:val="center"/>
          </w:tcPr>
          <w:p>
            <w:pPr>
              <w:ind w:firstLine="0" w:firstLineChars="0"/>
              <w:rPr>
                <w:szCs w:val="24"/>
              </w:rPr>
            </w:pPr>
          </w:p>
        </w:tc>
      </w:tr>
    </w:tbl>
    <w:p>
      <w:pPr>
        <w:sectPr>
          <w:pgSz w:w="11900" w:h="16840"/>
          <w:pgMar w:top="1440" w:right="1800" w:bottom="1440" w:left="1800" w:header="851" w:footer="992" w:gutter="0"/>
          <w:cols w:space="425" w:num="1"/>
          <w:docGrid w:type="lines" w:linePitch="312" w:charSpace="0"/>
        </w:sectPr>
      </w:pPr>
    </w:p>
    <w:p>
      <w:pPr>
        <w:pStyle w:val="2"/>
      </w:pPr>
      <w:r>
        <w:rPr>
          <w:rFonts w:hint="eastAsia"/>
        </w:rPr>
        <w:t>技术参数</w:t>
      </w:r>
    </w:p>
    <w:p>
      <w:pPr>
        <w:pStyle w:val="3"/>
      </w:pPr>
      <w:r>
        <w:rPr>
          <w:rFonts w:hint="eastAsia"/>
        </w:rPr>
        <w:t>设计要求</w:t>
      </w:r>
    </w:p>
    <w:p>
      <w:r>
        <w:t>本次项目需基于医院现有</w:t>
      </w:r>
      <w:r>
        <w:rPr>
          <w:rFonts w:hint="eastAsia"/>
        </w:rPr>
        <w:t>互联网医院</w:t>
      </w:r>
      <w:r>
        <w:t>平台进行建设，满足、</w:t>
      </w:r>
      <w:r>
        <w:rPr>
          <w:rFonts w:hint="eastAsia"/>
        </w:rPr>
        <w:t>线上服务</w:t>
      </w:r>
      <w:r>
        <w:t>业务+管理应用需要，需要满足管理者统一门户、医护统一门户和患者统一门户。</w:t>
      </w:r>
    </w:p>
    <w:p>
      <w:r>
        <w:t>总体设计要求如下：</w:t>
      </w:r>
    </w:p>
    <w:p>
      <w:r>
        <w:t>1、患者统一门户：</w:t>
      </w:r>
      <w:r>
        <w:rPr>
          <w:rFonts w:hint="eastAsia"/>
        </w:rPr>
        <w:t>需基于现有医院微信公众号入口进行升级，完成用户体系的对接，实现现有功能和本次项目患者端支付、检查预约等功能的集成</w:t>
      </w:r>
      <w:r>
        <w:t>。</w:t>
      </w:r>
    </w:p>
    <w:p>
      <w:r>
        <w:t>2、医护统一门户：</w:t>
      </w:r>
      <w:r>
        <w:rPr>
          <w:rFonts w:hint="eastAsia"/>
        </w:rPr>
        <w:t>需基于现有医护端服务入口进行升级，本次项目建设内容支持在现有医生端使用，医</w:t>
      </w:r>
      <w:r>
        <w:t>护使用现有医生</w:t>
      </w:r>
      <w:r>
        <w:rPr>
          <w:rFonts w:hint="eastAsia"/>
        </w:rPr>
        <w:t>服务</w:t>
      </w:r>
      <w:r>
        <w:t>入口即可开展各项业务。</w:t>
      </w:r>
    </w:p>
    <w:p>
      <w:r>
        <w:t>3、管理者统一门户：</w:t>
      </w:r>
      <w:r>
        <w:rPr>
          <w:rFonts w:hint="eastAsia"/>
        </w:rPr>
        <w:t>本次项目建设</w:t>
      </w:r>
      <w:r>
        <w:t>功能</w:t>
      </w:r>
      <w:r>
        <w:rPr>
          <w:rFonts w:hint="eastAsia"/>
        </w:rPr>
        <w:t>需</w:t>
      </w:r>
      <w:r>
        <w:t>支持</w:t>
      </w:r>
      <w:r>
        <w:rPr>
          <w:rFonts w:hint="eastAsia"/>
        </w:rPr>
        <w:t>对应的配置和查询功能和现有管理端进行无缝对接，需支持</w:t>
      </w:r>
      <w:r>
        <w:t>管理者</w:t>
      </w:r>
      <w:r>
        <w:rPr>
          <w:rFonts w:hint="eastAsia"/>
        </w:rPr>
        <w:t>在</w:t>
      </w:r>
      <w:r>
        <w:t>现有管理端上</w:t>
      </w:r>
      <w:r>
        <w:rPr>
          <w:rFonts w:hint="eastAsia"/>
        </w:rPr>
        <w:t>直接对本次建设内容</w:t>
      </w:r>
      <w:r>
        <w:t>进行</w:t>
      </w:r>
      <w:r>
        <w:rPr>
          <w:rFonts w:hint="eastAsia"/>
        </w:rPr>
        <w:t>相关</w:t>
      </w:r>
      <w:r>
        <w:t>业务配置和业务查询。</w:t>
      </w:r>
    </w:p>
    <w:p>
      <w:pPr>
        <w:pStyle w:val="3"/>
        <w:numPr>
          <w:ilvl w:val="1"/>
          <w:numId w:val="1"/>
        </w:numPr>
      </w:pPr>
      <w:r>
        <w:rPr>
          <w:rFonts w:hint="eastAsia"/>
        </w:rPr>
        <w:t>架构要求</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1、需具备负载均衡能力，能够实现系统的热部署，保证系统业务进行无感升级；</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2、需采用业务模块微服务化设计，保障平台的性能。</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3、需具备高并发吞吐能力，并发处理能力不少于5000次/秒；</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4、需基于SOA架构设计，实现服务之间的松耦合，以适应不断变化的环境。</w:t>
      </w:r>
    </w:p>
    <w:p>
      <w:pPr>
        <w:pStyle w:val="3"/>
        <w:numPr>
          <w:ilvl w:val="1"/>
          <w:numId w:val="1"/>
        </w:numPr>
      </w:pPr>
      <w:bookmarkStart w:id="0" w:name="_Toc105014065"/>
      <w:r>
        <w:rPr>
          <w:rFonts w:hint="eastAsia"/>
        </w:rPr>
        <w:t>安全要求</w:t>
      </w:r>
      <w:bookmarkEnd w:id="0"/>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1、需提供完善的安全设计，在大规模请求的冲击下，提供限流、熔断来保证后端服务的可用性，并提供调用追踪链进行业务追踪。</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2、需对院内系统具备安全保护措施，可设定安全阈值，达到一定容量后主动中断对院内系统的请求，保护院内系统安全。</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3、需满足等级保护三级要求。</w:t>
      </w:r>
    </w:p>
    <w:p>
      <w:pPr>
        <w:rPr>
          <w:color w:val="000000" w:themeColor="text1"/>
          <w:szCs w:val="24"/>
          <w14:textFill>
            <w14:solidFill>
              <w14:schemeClr w14:val="tx1"/>
            </w14:solidFill>
          </w14:textFill>
        </w:rPr>
        <w:sectPr>
          <w:pgSz w:w="11900" w:h="16840"/>
          <w:pgMar w:top="1440" w:right="1800" w:bottom="1440" w:left="1800" w:header="851" w:footer="992" w:gutter="0"/>
          <w:cols w:space="425" w:num="1"/>
          <w:docGrid w:type="lines" w:linePitch="312" w:charSpace="0"/>
        </w:sectPr>
      </w:pPr>
    </w:p>
    <w:p>
      <w:pPr>
        <w:pStyle w:val="2"/>
      </w:pPr>
      <w:r>
        <w:t>详细参数要求</w:t>
      </w:r>
    </w:p>
    <w:p>
      <w:pPr>
        <w:pStyle w:val="3"/>
      </w:pPr>
      <w:r>
        <w:rPr>
          <w:rFonts w:hint="eastAsia"/>
        </w:rPr>
        <w:t>在线诊疗服务升级</w:t>
      </w:r>
    </w:p>
    <w:p>
      <w:pPr>
        <w:pStyle w:val="4"/>
      </w:pPr>
      <w:r>
        <w:rPr>
          <w:rFonts w:hint="eastAsia"/>
        </w:rPr>
        <w:t>在线复诊升级</w:t>
      </w:r>
    </w:p>
    <w:p>
      <w:pPr>
        <w:pStyle w:val="5"/>
      </w:pPr>
      <w:r>
        <w:rPr>
          <w:rFonts w:hint="eastAsia"/>
        </w:rPr>
        <w:t>排班管理</w:t>
      </w:r>
    </w:p>
    <w:p>
      <w:r>
        <w:t>投标产品需支持对接医院his系统排班信息。</w:t>
      </w:r>
    </w:p>
    <w:p>
      <w:pPr>
        <w:pStyle w:val="5"/>
      </w:pPr>
      <w:r>
        <w:rPr>
          <w:rFonts w:hint="eastAsia"/>
        </w:rPr>
        <w:t>复诊申请升级（复诊判断对接HIS）</w:t>
      </w:r>
    </w:p>
    <w:p>
      <w:r>
        <w:t>投标产品需支持与院内HIS对接，通过查询该患者一定时间内是否有在本院的就诊记录判定是否符合复诊条件，并将判定结果回传结果到互联网医院平台中。</w:t>
      </w:r>
    </w:p>
    <w:p>
      <w:pPr>
        <w:pStyle w:val="5"/>
      </w:pPr>
      <w:r>
        <w:rPr>
          <w:rFonts w:hint="eastAsia"/>
        </w:rPr>
        <w:t>复诊病历升级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（1）病历内容管理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投标产品需支持对病历内容进行配置，应包括主诉、诊断、病史、过敏史、既往史和处理方法，应支持医院根据需求修改对应病历内容的字段名称。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（2）病历模版管理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投标产品需支持医生维护常用病历模板。</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（3）病历调阅</w:t>
      </w:r>
    </w:p>
    <w:p>
      <w:pPr>
        <w:rPr>
          <w:color w:val="000000" w:themeColor="text1"/>
          <w14:textFill>
            <w14:solidFill>
              <w14:schemeClr w14:val="tx1"/>
            </w14:solidFill>
          </w14:textFill>
        </w:rPr>
      </w:pPr>
      <w:r>
        <w:rPr>
          <w:rFonts w:hint="eastAsia"/>
          <w:lang w:bidi="ar"/>
        </w:rPr>
        <w:t>▲</w:t>
      </w:r>
      <w:r>
        <w:rPr>
          <w:rFonts w:hint="eastAsia"/>
          <w:color w:val="000000" w:themeColor="text1"/>
          <w14:textFill>
            <w14:solidFill>
              <w14:schemeClr w14:val="tx1"/>
            </w14:solidFill>
          </w14:textFill>
        </w:rPr>
        <w:t>投标产品需支持医生通过医生APP端、PC端调阅患者在本院的电子病历信息，包括线下病历和线上病历。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）病历调阅安全</w:t>
      </w:r>
    </w:p>
    <w:p>
      <w:pPr>
        <w:rPr>
          <w:color w:val="000000" w:themeColor="text1"/>
          <w14:textFill>
            <w14:solidFill>
              <w14:schemeClr w14:val="tx1"/>
            </w14:solidFill>
          </w14:textFill>
        </w:rPr>
      </w:pPr>
      <w:r>
        <w:rPr>
          <w:rFonts w:hint="eastAsia"/>
          <w:lang w:bidi="ar"/>
        </w:rPr>
        <w:t>▲</w:t>
      </w:r>
      <w:r>
        <w:rPr>
          <w:rFonts w:hint="eastAsia"/>
          <w:color w:val="000000" w:themeColor="text1"/>
          <w14:textFill>
            <w14:solidFill>
              <w14:schemeClr w14:val="tx1"/>
            </w14:solidFill>
          </w14:textFill>
        </w:rPr>
        <w:t>投标产品需支持设置医生调阅患者电子病历时显示调阅者姓名和时间水印，保障患者电子病历信息的安全。</w:t>
      </w:r>
    </w:p>
    <w:p>
      <w:pPr>
        <w:rPr>
          <w:color w:val="000000" w:themeColor="text1"/>
          <w:lang w:eastAsia="zh-Hans"/>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病历回写</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投标产品需支持医生线上书写病历并回写至his</w:t>
      </w:r>
      <w:r>
        <w:rPr>
          <w:color w:val="000000" w:themeColor="text1"/>
          <w14:textFill>
            <w14:solidFill>
              <w14:schemeClr w14:val="tx1"/>
            </w14:solidFill>
          </w14:textFill>
        </w:rPr>
        <w:t>。</w:t>
      </w:r>
    </w:p>
    <w:p>
      <w:pPr>
        <w:pStyle w:val="4"/>
      </w:pPr>
      <w:r>
        <w:rPr>
          <w:rFonts w:hint="eastAsia"/>
        </w:rPr>
        <w:t>在线医嘱（线上开方）升级</w:t>
      </w:r>
    </w:p>
    <w:p>
      <w:pPr>
        <w:pStyle w:val="5"/>
      </w:pPr>
      <w:r>
        <w:rPr>
          <w:rFonts w:hint="eastAsia"/>
        </w:rPr>
        <w:t>在线开方升级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）历史处方调用</w:t>
      </w:r>
    </w:p>
    <w:p>
      <w:pPr>
        <w:rPr>
          <w:color w:val="000000" w:themeColor="text1"/>
          <w14:textFill>
            <w14:solidFill>
              <w14:schemeClr w14:val="tx1"/>
            </w14:solidFill>
          </w14:textFill>
        </w:rPr>
      </w:pPr>
      <w:r>
        <w:rPr>
          <w:rFonts w:hint="eastAsia"/>
          <w:lang w:bidi="ar"/>
        </w:rPr>
        <w:t>▲</w:t>
      </w:r>
      <w:r>
        <w:rPr>
          <w:rFonts w:hint="eastAsia"/>
          <w:color w:val="000000" w:themeColor="text1"/>
          <w14:textFill>
            <w14:solidFill>
              <w14:schemeClr w14:val="tx1"/>
            </w14:solidFill>
          </w14:textFill>
        </w:rPr>
        <w:t>投标产品需支持医生查看患者的历史用药记录，需包括互联网医院线上处方记录和医生工作站线下处方记录，并能选择历史记录进行一键续方。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应支持与院内系统对接，医生可以获取院内协定方信息，并支持将协定方保存为处方常用模板，支持医生快速引用开方。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）处方回写</w:t>
      </w:r>
    </w:p>
    <w:p>
      <w:pPr>
        <w:rPr>
          <w:color w:val="000000" w:themeColor="text1"/>
          <w:lang w:eastAsia="zh-Hans"/>
          <w14:textFill>
            <w14:solidFill>
              <w14:schemeClr w14:val="tx1"/>
            </w14:solidFill>
          </w14:textFill>
        </w:rPr>
      </w:pPr>
      <w:r>
        <w:rPr>
          <w:rFonts w:hint="eastAsia"/>
          <w:color w:val="000000" w:themeColor="text1"/>
          <w14:textFill>
            <w14:solidFill>
              <w14:schemeClr w14:val="tx1"/>
            </w14:solidFill>
          </w14:textFill>
        </w:rPr>
        <w:t>投标产品需支持</w:t>
      </w:r>
      <w:r>
        <w:rPr>
          <w:rFonts w:hint="eastAsia"/>
          <w:color w:val="000000" w:themeColor="text1"/>
          <w:lang w:eastAsia="zh-Hans"/>
          <w14:textFill>
            <w14:solidFill>
              <w14:schemeClr w14:val="tx1"/>
            </w14:solidFill>
          </w14:textFill>
        </w:rPr>
        <w:t>将互联网医院中线上开具的电子处方回写至院内HIS系统。</w:t>
      </w:r>
    </w:p>
    <w:p>
      <w:pPr>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w:t>
      </w:r>
      <w:r>
        <w:rPr>
          <w:color w:val="000000" w:themeColor="text1"/>
          <w:lang w:eastAsia="zh-Hans"/>
          <w14:textFill>
            <w14:solidFill>
              <w14:schemeClr w14:val="tx1"/>
            </w14:solidFill>
          </w14:textFill>
        </w:rPr>
        <w:t>3</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对接医生电子签名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投标产品需支持对接院内云CA电子签名系统，实现医生开方时进行电子签名。</w:t>
      </w:r>
    </w:p>
    <w:p>
      <w:pPr>
        <w:pStyle w:val="5"/>
      </w:pPr>
      <w:r>
        <w:rPr>
          <w:rFonts w:hint="eastAsia"/>
        </w:rPr>
        <w:t>处方审核升级</w:t>
      </w:r>
    </w:p>
    <w:p>
      <w:r>
        <w:t>（1）对接</w:t>
      </w:r>
      <w:r>
        <w:rPr>
          <w:rFonts w:hint="eastAsia"/>
        </w:rPr>
        <w:t>药师</w:t>
      </w:r>
      <w:r>
        <w:t>电子签名</w:t>
      </w:r>
    </w:p>
    <w:p>
      <w:r>
        <w:t>投标产品需支持对接院内云CA电子签名系统，实现药师审方时进行电子签名。</w:t>
      </w:r>
    </w:p>
    <w:p>
      <w:r>
        <w:t>（2）对接合理用药</w:t>
      </w:r>
    </w:p>
    <w:p>
      <w:r>
        <w:t>投标产品需支持与院内合理用药系统对接，对互联网医院开具的电子处方进行合理性管理和干预。</w:t>
      </w:r>
    </w:p>
    <w:p>
      <w:pPr>
        <w:pStyle w:val="4"/>
      </w:pPr>
      <w:r>
        <w:rPr>
          <w:rFonts w:hint="eastAsia"/>
        </w:rPr>
        <w:t>处方流转升级</w:t>
      </w:r>
    </w:p>
    <w:p>
      <w:pPr>
        <w:pStyle w:val="5"/>
      </w:pPr>
      <w:r>
        <w:rPr>
          <w:rFonts w:hint="eastAsia"/>
        </w:rPr>
        <w:t>药品目录管理</w:t>
      </w:r>
    </w:p>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投标产品需支持管理员对平台所需开放的药品目录进行统一配置，应包括药品目录字典、通用药品和机构药品目录信息管理。</w:t>
      </w:r>
    </w:p>
    <w:p>
      <w:pPr>
        <w:pStyle w:val="5"/>
      </w:pPr>
      <w:r>
        <w:t>院内取药</w:t>
      </w:r>
    </w:p>
    <w:p>
      <w:r>
        <w:t>投标产品应提供到院取药模式，若患者选择到医院药房取药，提交到院取药确认信息后，便可直接前往医院支付药品费用并取药。</w:t>
      </w:r>
    </w:p>
    <w:p>
      <w:pPr>
        <w:pStyle w:val="5"/>
      </w:pPr>
      <w:r>
        <w:t>医院药房配送</w:t>
      </w:r>
    </w:p>
    <w:p>
      <w:r>
        <w:t>投标产品应提供配送到家模式，患者在线填写配送地址信息并完成处方费用支付。应支持在平台配置医院配送范围，将根据配送距离收取配送费用，若超出配送距离，则需提示患者无法配送。</w:t>
      </w:r>
    </w:p>
    <w:p>
      <w:pPr>
        <w:pStyle w:val="4"/>
      </w:pPr>
      <w:r>
        <w:rPr>
          <w:rFonts w:hint="eastAsia"/>
        </w:rPr>
        <w:t>在线支付升级</w:t>
      </w:r>
    </w:p>
    <w:p>
      <w:r>
        <w:rPr>
          <w:rFonts w:hint="eastAsia"/>
        </w:rPr>
        <w:t>（1）</w:t>
      </w:r>
      <w:r>
        <w:t>复诊支付</w:t>
      </w:r>
    </w:p>
    <w:p>
      <w:r>
        <w:t>投标产品需支持患者复诊预约挂号后对复诊费用进行支付。</w:t>
      </w:r>
    </w:p>
    <w:p>
      <w:r>
        <w:rPr>
          <w:rFonts w:hint="eastAsia"/>
        </w:rPr>
        <w:t>（2）</w:t>
      </w:r>
      <w:r>
        <w:t>处方支付</w:t>
      </w:r>
    </w:p>
    <w:p>
      <w:r>
        <w:t>投标产品需支持患者在线对医生开具的处方的费用进行支付。</w:t>
      </w:r>
    </w:p>
    <w:p>
      <w:r>
        <w:rPr>
          <w:rFonts w:hint="eastAsia"/>
        </w:rPr>
        <w:t>（3）检验检查单支付</w:t>
      </w:r>
    </w:p>
    <w:p>
      <w:r>
        <w:t>投标产品需支持患者在线对医生开具的</w:t>
      </w:r>
      <w:r>
        <w:rPr>
          <w:rFonts w:hint="eastAsia"/>
        </w:rPr>
        <w:t>检验检查单</w:t>
      </w:r>
      <w:r>
        <w:t>的费用进行支付。</w:t>
      </w:r>
    </w:p>
    <w:p>
      <w:r>
        <w:rPr>
          <w:rFonts w:hint="eastAsia"/>
        </w:rPr>
        <w:t>（4）</w:t>
      </w:r>
      <w:r>
        <w:t>在线退费</w:t>
      </w:r>
    </w:p>
    <w:p>
      <w:r>
        <w:t>投标产品需支持在线申请退费，包含复诊挂号费、线上处方费的业务费用。</w:t>
      </w:r>
    </w:p>
    <w:p>
      <w:r>
        <w:t>（4）医保在线支付</w:t>
      </w:r>
    </w:p>
    <w:p>
      <w:r>
        <w:rPr>
          <w:rFonts w:hint="eastAsia"/>
        </w:rPr>
        <w:t>投标产品需支持</w:t>
      </w:r>
      <w:r>
        <w:t>从 his 获取医保控费接口（需线下 his 提供）或医院提供特定线上开方目录</w:t>
      </w:r>
      <w:r>
        <w:rPr>
          <w:rFonts w:hint="eastAsia"/>
        </w:rPr>
        <w:t>，实现</w:t>
      </w:r>
      <w:r>
        <w:t>复诊、处方费用的医保移动支付。</w:t>
      </w:r>
    </w:p>
    <w:p>
      <w:pPr>
        <w:pStyle w:val="4"/>
      </w:pPr>
      <w:r>
        <w:rPr>
          <w:rFonts w:hint="eastAsia"/>
        </w:rPr>
        <w:t>在线检验检查开单</w:t>
      </w:r>
    </w:p>
    <w:p>
      <w:pPr>
        <w:pStyle w:val="5"/>
      </w:pPr>
      <w:r>
        <w:t>配置管理</w:t>
      </w:r>
    </w:p>
    <w:p>
      <w:r>
        <w:rPr>
          <w:rFonts w:hint="eastAsia"/>
        </w:rPr>
        <w:t>（1）检验检查基础数据维护</w:t>
      </w:r>
    </w:p>
    <w:p>
      <w:r>
        <w:rPr>
          <w:rFonts w:hint="eastAsia"/>
        </w:rPr>
        <w:t>投标产品需支持管理员通过管理平台维护类目、项目、项目范围等基础数据信息。</w:t>
      </w:r>
    </w:p>
    <w:p>
      <w:r>
        <w:rPr>
          <w:rFonts w:hint="eastAsia"/>
        </w:rPr>
        <w:t>（2）检验检查基础数据同步</w:t>
      </w:r>
    </w:p>
    <w:p>
      <w:r>
        <w:rPr>
          <w:rFonts w:hint="eastAsia"/>
        </w:rPr>
        <w:t>投标产品需支持对接院内系统，同步</w:t>
      </w:r>
      <w:r>
        <w:t>获取院内医技基础数据</w:t>
      </w:r>
      <w:r>
        <w:rPr>
          <w:rFonts w:hint="eastAsia"/>
        </w:rPr>
        <w:t>。</w:t>
      </w:r>
    </w:p>
    <w:p>
      <w:r>
        <w:rPr>
          <w:rFonts w:hint="eastAsia"/>
        </w:rPr>
        <w:t>（3）支付规则配置</w:t>
      </w:r>
    </w:p>
    <w:p>
      <w:pPr>
        <w:rPr>
          <w:rFonts w:hint="eastAsia"/>
        </w:rPr>
      </w:pPr>
      <w:r>
        <w:rPr>
          <w:rFonts w:hint="eastAsia"/>
        </w:rPr>
        <w:t>投标产品需支持根据医院需求配置支付规则。</w:t>
      </w:r>
    </w:p>
    <w:p>
      <w:pPr>
        <w:pStyle w:val="5"/>
      </w:pPr>
      <w:r>
        <w:t>在线检验检查开单</w:t>
      </w:r>
    </w:p>
    <w:p>
      <w:r>
        <w:rPr>
          <w:rFonts w:hint="eastAsia"/>
        </w:rPr>
        <w:t>投标产品需支持集成院内检验检查开单SDK，实现医生通过移动端APP在线为患者开具检验检查单。</w:t>
      </w:r>
    </w:p>
    <w:p>
      <w:pPr>
        <w:pStyle w:val="4"/>
      </w:pPr>
      <w:r>
        <w:rPr>
          <w:rFonts w:hint="eastAsia"/>
        </w:rPr>
        <w:t>在线检验检查预约</w:t>
      </w:r>
    </w:p>
    <w:p>
      <w:r>
        <w:rPr>
          <w:rFonts w:hint="eastAsia"/>
        </w:rPr>
        <w:t>投标产品需支持医生为患者开单后，患者在线完成费用支付并进行预约。</w:t>
      </w:r>
    </w:p>
    <w:p>
      <w:pPr>
        <w:pStyle w:val="4"/>
      </w:pPr>
      <w:r>
        <w:rPr>
          <w:rFonts w:hint="eastAsia"/>
        </w:rPr>
        <w:t>便捷配药</w:t>
      </w:r>
    </w:p>
    <w:p>
      <w:pPr>
        <w:pStyle w:val="5"/>
      </w:pPr>
      <w:r>
        <w:t>便捷配药配置</w:t>
      </w:r>
    </w:p>
    <w:p>
      <w:r>
        <w:rPr>
          <w:rFonts w:hint="eastAsia"/>
          <w:lang w:bidi="ar"/>
        </w:rPr>
        <w:t>▲</w:t>
      </w:r>
      <w:r>
        <w:rPr>
          <w:rFonts w:hint="eastAsia"/>
        </w:rPr>
        <w:t>投标产品需支持</w:t>
      </w:r>
      <w:r>
        <w:t>对医院提供便捷配药服务的药品信息进行维护，</w:t>
      </w:r>
      <w:r>
        <w:rPr>
          <w:rFonts w:hint="eastAsia"/>
        </w:rPr>
        <w:t>支持</w:t>
      </w:r>
      <w:r>
        <w:t>新增便捷配药处方，</w:t>
      </w:r>
      <w:r>
        <w:rPr>
          <w:rFonts w:hint="eastAsia"/>
        </w:rPr>
        <w:t>支持</w:t>
      </w:r>
      <w:r>
        <w:t>便捷配药处方进行修改，</w:t>
      </w:r>
      <w:r>
        <w:rPr>
          <w:rFonts w:hint="eastAsia"/>
        </w:rPr>
        <w:t>应包</w:t>
      </w:r>
      <w:r>
        <w:t>括单次购买上限、药品库存信息</w:t>
      </w:r>
      <w:r>
        <w:rPr>
          <w:rFonts w:hint="eastAsia"/>
        </w:rPr>
        <w:t>。需支持</w:t>
      </w:r>
      <w:r>
        <w:t>上传处方图片信息，描述处方详情信息。</w:t>
      </w:r>
    </w:p>
    <w:p>
      <w:r>
        <w:rPr>
          <w:rFonts w:hint="eastAsia"/>
        </w:rPr>
        <w:t>需支持</w:t>
      </w:r>
      <w:r>
        <w:t>对便捷配药处方进行上架、下架、删除操作。</w:t>
      </w:r>
    </w:p>
    <w:p>
      <w:pPr>
        <w:pStyle w:val="5"/>
      </w:pPr>
      <w:r>
        <w:rPr>
          <w:rFonts w:hint="eastAsia"/>
        </w:rPr>
        <w:t>配</w:t>
      </w:r>
      <w:r>
        <w:t>药评估</w:t>
      </w:r>
    </w:p>
    <w:p>
      <w:r>
        <w:rPr>
          <w:rFonts w:hint="eastAsia"/>
          <w:lang w:bidi="ar"/>
        </w:rPr>
        <w:t>▲</w:t>
      </w:r>
      <w:r>
        <w:rPr>
          <w:rFonts w:hint="eastAsia"/>
        </w:rPr>
        <w:t>投标产品需</w:t>
      </w:r>
      <w:r>
        <w:t>支持配置评估表单，</w:t>
      </w:r>
      <w:r>
        <w:rPr>
          <w:rFonts w:hint="eastAsia"/>
        </w:rPr>
        <w:t>患者配药前进行评估，符合要求的可以进行配药</w:t>
      </w:r>
      <w:r>
        <w:t>。</w:t>
      </w:r>
    </w:p>
    <w:p>
      <w:pPr>
        <w:pStyle w:val="5"/>
      </w:pPr>
      <w:r>
        <w:rPr>
          <w:rFonts w:hint="eastAsia"/>
        </w:rPr>
        <w:t>配</w:t>
      </w:r>
      <w:r>
        <w:t>药申请</w:t>
      </w:r>
    </w:p>
    <w:p>
      <w:r>
        <w:rPr>
          <w:rFonts w:hint="eastAsia"/>
        </w:rPr>
        <w:t>投标产品需支持</w:t>
      </w:r>
      <w:r>
        <w:t>患者可以选择自己所需要的药品信息，进行</w:t>
      </w:r>
      <w:r>
        <w:rPr>
          <w:rFonts w:hint="eastAsia"/>
        </w:rPr>
        <w:t>配</w:t>
      </w:r>
      <w:r>
        <w:t>药申请</w:t>
      </w:r>
      <w:r>
        <w:rPr>
          <w:rFonts w:hint="eastAsia"/>
        </w:rPr>
        <w:t>，</w:t>
      </w:r>
      <w:r>
        <w:t>申请成功即可生成药方。</w:t>
      </w:r>
    </w:p>
    <w:p>
      <w:pPr>
        <w:pStyle w:val="5"/>
      </w:pPr>
      <w:r>
        <w:t>取药方式</w:t>
      </w:r>
    </w:p>
    <w:p>
      <w:r>
        <w:rPr>
          <w:rFonts w:hint="eastAsia"/>
        </w:rPr>
        <w:t>投标产品需支持到院取药和配送到家两种取药模式。</w:t>
      </w:r>
    </w:p>
    <w:p>
      <w:pPr>
        <w:pStyle w:val="3"/>
        <w:numPr>
          <w:ilvl w:val="1"/>
          <w:numId w:val="1"/>
        </w:numPr>
      </w:pPr>
      <w:r>
        <w:rPr>
          <w:rFonts w:hint="eastAsia"/>
        </w:rPr>
        <w:t>接口对接服务</w:t>
      </w:r>
    </w:p>
    <w:p>
      <w:pPr>
        <w:pStyle w:val="4"/>
        <w:rPr>
          <w:lang w:eastAsia="zh-Hans"/>
        </w:rPr>
      </w:pPr>
      <w:r>
        <w:rPr>
          <w:rFonts w:hint="eastAsia"/>
          <w:lang w:eastAsia="zh-Hans"/>
        </w:rPr>
        <w:t>第三方服务接口</w:t>
      </w:r>
      <w:bookmarkStart w:id="1" w:name="_Toc98440489"/>
      <w:r>
        <w:rPr>
          <w:rFonts w:hint="eastAsia"/>
          <w:lang w:eastAsia="zh-Hans"/>
        </w:rPr>
        <w:t>（电子签名接口</w:t>
      </w:r>
      <w:bookmarkEnd w:id="1"/>
      <w:r>
        <w:rPr>
          <w:rFonts w:hint="eastAsia"/>
          <w:lang w:eastAsia="zh-Hans"/>
        </w:rPr>
        <w:t>）</w:t>
      </w:r>
    </w:p>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投标产品需支持与院内云CA系统对接，实现医生开具处方、药师审方过程中进行电子签名服务。</w:t>
      </w:r>
    </w:p>
    <w:p>
      <w:pPr>
        <w:pStyle w:val="4"/>
      </w:pPr>
      <w:r>
        <w:rPr>
          <w:rFonts w:hint="eastAsia"/>
        </w:rPr>
        <w:t>HIS服务接口</w:t>
      </w:r>
    </w:p>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（1）在线诊疗</w:t>
      </w:r>
      <w:r>
        <w:rPr>
          <w:rFonts w:hint="eastAsia"/>
          <w:color w:val="000000" w:themeColor="text1"/>
          <w14:textFill>
            <w14:solidFill>
              <w14:schemeClr w14:val="tx1"/>
            </w14:solidFill>
          </w14:textFill>
        </w:rPr>
        <w:t>服务</w:t>
      </w:r>
      <w:r>
        <w:rPr>
          <w:rFonts w:hint="eastAsia"/>
          <w:color w:val="000000" w:themeColor="text1"/>
          <w:lang w:eastAsia="zh-Hans"/>
          <w14:textFill>
            <w14:solidFill>
              <w14:schemeClr w14:val="tx1"/>
            </w14:solidFill>
          </w14:textFill>
        </w:rPr>
        <w:t>接口</w:t>
      </w:r>
    </w:p>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投标产品</w:t>
      </w:r>
      <w:r>
        <w:rPr>
          <w:rFonts w:hint="eastAsia"/>
          <w:color w:val="000000" w:themeColor="text1"/>
          <w14:textFill>
            <w14:solidFill>
              <w14:schemeClr w14:val="tx1"/>
            </w14:solidFill>
          </w14:textFill>
        </w:rPr>
        <w:t>需</w:t>
      </w:r>
      <w:r>
        <w:rPr>
          <w:rFonts w:hint="eastAsia"/>
          <w:color w:val="000000" w:themeColor="text1"/>
          <w:lang w:eastAsia="zh-Hans"/>
          <w14:textFill>
            <w14:solidFill>
              <w14:schemeClr w14:val="tx1"/>
            </w14:solidFill>
          </w14:textFill>
        </w:rPr>
        <w:t>支持与医院his系统对接，满足患者线上诊疗服务开展，应提供</w:t>
      </w:r>
      <w:r>
        <w:rPr>
          <w:rFonts w:hint="eastAsia"/>
          <w:color w:val="000000" w:themeColor="text1"/>
          <w14:textFill>
            <w14:solidFill>
              <w14:schemeClr w14:val="tx1"/>
            </w14:solidFill>
          </w14:textFill>
        </w:rPr>
        <w:t>复诊号源、</w:t>
      </w:r>
      <w:r>
        <w:rPr>
          <w:rFonts w:hint="eastAsia"/>
          <w:color w:val="000000" w:themeColor="text1"/>
          <w:lang w:eastAsia="zh-Hans"/>
          <w14:textFill>
            <w14:solidFill>
              <w14:schemeClr w14:val="tx1"/>
            </w14:solidFill>
          </w14:textFill>
        </w:rPr>
        <w:t>复诊病人判断、病历查询、</w:t>
      </w:r>
      <w:r>
        <w:rPr>
          <w:rFonts w:hint="eastAsia"/>
          <w:color w:val="000000" w:themeColor="text1"/>
          <w14:textFill>
            <w14:solidFill>
              <w14:schemeClr w14:val="tx1"/>
            </w14:solidFill>
          </w14:textFill>
        </w:rPr>
        <w:t>病历回写、</w:t>
      </w:r>
      <w:r>
        <w:rPr>
          <w:rFonts w:hint="eastAsia"/>
          <w:color w:val="000000" w:themeColor="text1"/>
          <w:lang w:eastAsia="zh-Hans"/>
          <w14:textFill>
            <w14:solidFill>
              <w14:schemeClr w14:val="tx1"/>
            </w14:solidFill>
          </w14:textFill>
        </w:rPr>
        <w:t>处方</w:t>
      </w:r>
      <w:r>
        <w:rPr>
          <w:rFonts w:hint="eastAsia"/>
          <w:color w:val="000000" w:themeColor="text1"/>
          <w14:textFill>
            <w14:solidFill>
              <w14:schemeClr w14:val="tx1"/>
            </w14:solidFill>
          </w14:textFill>
        </w:rPr>
        <w:t>调阅、处方回写等</w:t>
      </w:r>
      <w:r>
        <w:rPr>
          <w:rFonts w:hint="eastAsia"/>
          <w:color w:val="000000" w:themeColor="text1"/>
          <w:lang w:eastAsia="zh-Hans"/>
          <w14:textFill>
            <w14:solidFill>
              <w14:schemeClr w14:val="tx1"/>
            </w14:solidFill>
          </w14:textFill>
        </w:rPr>
        <w:t>相关内容的对接。</w:t>
      </w:r>
    </w:p>
    <w:p>
      <w:pPr>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（2）</w:t>
      </w:r>
      <w:r>
        <w:rPr>
          <w:rFonts w:hint="eastAsia"/>
          <w:color w:val="000000" w:themeColor="text1"/>
          <w14:textFill>
            <w14:solidFill>
              <w14:schemeClr w14:val="tx1"/>
            </w14:solidFill>
          </w14:textFill>
        </w:rPr>
        <w:t>检验检查接口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投标产品需支持与医院his系统及医技预约系统，完成检验检查预约。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（3）合理用药接口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投标产品需支持与院内合理用药系统对接，实现对互联网医院处方的智能预审。</w:t>
      </w:r>
    </w:p>
    <w:p>
      <w:pPr>
        <w:pStyle w:val="2"/>
        <w:numPr>
          <w:ilvl w:val="0"/>
          <w:numId w:val="1"/>
        </w:numPr>
        <w:ind w:left="0" w:firstLine="0"/>
      </w:pPr>
      <w:bookmarkStart w:id="2" w:name="_Toc99461745"/>
      <w:r>
        <w:rPr>
          <w:rFonts w:hint="eastAsia"/>
        </w:rPr>
        <w:t>项目实施及培训要求</w:t>
      </w:r>
      <w:bookmarkEnd w:id="2"/>
    </w:p>
    <w:p>
      <w:pPr>
        <w:pStyle w:val="3"/>
        <w:numPr>
          <w:ilvl w:val="1"/>
          <w:numId w:val="1"/>
        </w:numPr>
      </w:pPr>
      <w:bookmarkStart w:id="3" w:name="_Toc99461746"/>
      <w:r>
        <w:rPr>
          <w:rFonts w:hint="eastAsia"/>
        </w:rPr>
        <w:t>项目实施进度要求</w:t>
      </w:r>
      <w:bookmarkEnd w:id="3"/>
    </w:p>
    <w:p>
      <w:pPr>
        <w:rPr>
          <w:lang w:eastAsia="zh-Hans"/>
        </w:rPr>
      </w:pPr>
      <w:r>
        <w:rPr>
          <w:rFonts w:hint="eastAsia"/>
          <w:lang w:eastAsia="zh-Hans"/>
        </w:rPr>
        <w:t>（1）安装地点：</w:t>
      </w:r>
      <w:r>
        <w:rPr>
          <w:rFonts w:hint="eastAsia"/>
        </w:rPr>
        <w:t>临安区第一人民医院</w:t>
      </w:r>
      <w:r>
        <w:rPr>
          <w:rFonts w:hint="eastAsia"/>
          <w:lang w:eastAsia="zh-Hans"/>
        </w:rPr>
        <w:t>或用户指定地点。</w:t>
      </w:r>
    </w:p>
    <w:p>
      <w:pPr>
        <w:rPr>
          <w:lang w:eastAsia="zh-Hans"/>
        </w:rPr>
      </w:pPr>
      <w:r>
        <w:rPr>
          <w:rFonts w:hint="eastAsia"/>
          <w:lang w:eastAsia="zh-Hans"/>
        </w:rPr>
        <w:t>（2）项目完成时间：自合同签订后，</w:t>
      </w:r>
      <w:r>
        <w:t>3</w:t>
      </w:r>
      <w:r>
        <w:rPr>
          <w:rFonts w:hint="eastAsia"/>
        </w:rPr>
        <w:t>个</w:t>
      </w:r>
      <w:r>
        <w:rPr>
          <w:rFonts w:hint="eastAsia"/>
          <w:lang w:eastAsia="zh-Hans"/>
        </w:rPr>
        <w:t>月内完成，投标人应在投标文件中标明工期及实施计划、进度。</w:t>
      </w:r>
    </w:p>
    <w:p>
      <w:pPr>
        <w:pStyle w:val="33"/>
        <w:rPr>
          <w:lang w:eastAsia="zh-Hans"/>
        </w:rPr>
      </w:pPr>
      <w:r>
        <w:rPr>
          <w:rFonts w:hint="eastAsia" w:ascii="宋体" w:hAnsi="宋体"/>
        </w:rPr>
        <w:t>（3）要求针对本项目成立软件开发实施项目组，明确项目经理及其他具体人员组成和分工</w:t>
      </w:r>
      <w:r>
        <w:rPr>
          <w:rFonts w:hint="eastAsia"/>
          <w:lang w:eastAsia="zh-Hans"/>
        </w:rPr>
        <w:t>。</w:t>
      </w:r>
    </w:p>
    <w:p>
      <w:pPr>
        <w:pStyle w:val="3"/>
        <w:numPr>
          <w:ilvl w:val="1"/>
          <w:numId w:val="1"/>
        </w:numPr>
      </w:pPr>
      <w:r>
        <w:t>项目保障措施</w:t>
      </w:r>
    </w:p>
    <w:p>
      <w:pPr>
        <w:pStyle w:val="33"/>
        <w:rPr>
          <w:lang w:eastAsia="zh-Hans"/>
        </w:rPr>
      </w:pPr>
      <w:r>
        <w:t>投标产品需提供项目保障措施方案，需包含组织保障措施、质量保证措施、系统建设过程保证措施、安全保障措施内容。</w:t>
      </w:r>
    </w:p>
    <w:p>
      <w:pPr>
        <w:pStyle w:val="3"/>
        <w:numPr>
          <w:ilvl w:val="1"/>
          <w:numId w:val="1"/>
        </w:numPr>
      </w:pPr>
      <w:bookmarkStart w:id="4" w:name="_Toc99461747"/>
      <w:r>
        <w:rPr>
          <w:rFonts w:hint="eastAsia"/>
        </w:rPr>
        <w:t>项目培训要求</w:t>
      </w:r>
      <w:bookmarkEnd w:id="4"/>
    </w:p>
    <w:p>
      <w:pPr>
        <w:pStyle w:val="33"/>
        <w:rPr>
          <w:lang w:eastAsia="zh-Hans"/>
        </w:rPr>
      </w:pPr>
      <w:bookmarkStart w:id="5" w:name="_Toc99461748"/>
      <w:r>
        <w:rPr>
          <w:rFonts w:hint="eastAsia"/>
          <w:lang w:eastAsia="zh-Hans"/>
        </w:rPr>
        <w:t>投标产品需提供项目培训方案，需包含培训范围、培训目的、培训方式、培训管理制度、培训对象和培训内容、以及培训计划内容。</w:t>
      </w:r>
    </w:p>
    <w:p>
      <w:pPr>
        <w:pStyle w:val="2"/>
        <w:numPr>
          <w:ilvl w:val="0"/>
          <w:numId w:val="1"/>
        </w:numPr>
        <w:ind w:left="0" w:firstLine="0"/>
      </w:pPr>
      <w:r>
        <w:rPr>
          <w:rFonts w:hint="eastAsia"/>
        </w:rPr>
        <w:t>项目售后服务要求</w:t>
      </w:r>
      <w:bookmarkEnd w:id="5"/>
    </w:p>
    <w:p>
      <w:pPr>
        <w:pStyle w:val="33"/>
      </w:pPr>
      <w:r>
        <w:rPr>
          <w:rFonts w:hint="eastAsia"/>
        </w:rPr>
        <w:t>(1)投标人必须根据本次招标文件所制定的目标和范围，提出相应的售后服务方案。</w:t>
      </w:r>
    </w:p>
    <w:p>
      <w:pPr>
        <w:pStyle w:val="33"/>
      </w:pPr>
      <w:r>
        <w:rPr>
          <w:rFonts w:hint="eastAsia"/>
        </w:rPr>
        <w:t>(2)</w:t>
      </w:r>
      <w:r>
        <w:rPr>
          <w:rFonts w:hint="eastAsia" w:ascii="宋体" w:hAnsi="宋体"/>
        </w:rPr>
        <w:t>提供</w:t>
      </w:r>
      <w:r>
        <w:rPr>
          <w:rFonts w:ascii="宋体" w:hAnsi="宋体"/>
        </w:rPr>
        <w:t>5</w:t>
      </w:r>
      <w:r>
        <w:rPr>
          <w:rFonts w:hint="eastAsia" w:ascii="宋体" w:hAnsi="宋体"/>
        </w:rPr>
        <w:t>*</w:t>
      </w:r>
      <w:r>
        <w:rPr>
          <w:rFonts w:ascii="宋体" w:hAnsi="宋体"/>
        </w:rPr>
        <w:t>8</w:t>
      </w:r>
      <w:r>
        <w:rPr>
          <w:rFonts w:hint="eastAsia" w:ascii="宋体" w:hAnsi="宋体"/>
        </w:rPr>
        <w:t>小时日常服务，通过提供邮件、电话、QQ、VPN远程连接技</w:t>
      </w:r>
      <w:r>
        <w:rPr>
          <w:rFonts w:hint="eastAsia"/>
        </w:rPr>
        <w:t>术支持方式，以解决日常系统出现的问题咨询和故障处理。当采购人出现紧急故障情况时，立即向投标人电话报修，要求投标人</w:t>
      </w:r>
      <w:r>
        <w:t>1</w:t>
      </w:r>
      <w:r>
        <w:rPr>
          <w:rFonts w:hint="eastAsia"/>
        </w:rPr>
        <w:t>小时内响应，积极配合诊断并进行处理。如线上不能解决问题，投标方需保证4小时内派工程师到达现场、24小时之内解决问题。</w:t>
      </w:r>
    </w:p>
    <w:p>
      <w:pPr>
        <w:pStyle w:val="33"/>
        <w:sectPr>
          <w:pgSz w:w="11900" w:h="16840"/>
          <w:pgMar w:top="1440" w:right="1800" w:bottom="1440" w:left="1800" w:header="851" w:footer="992" w:gutter="0"/>
          <w:cols w:space="425" w:num="1"/>
          <w:docGrid w:type="lines" w:linePitch="312" w:charSpace="0"/>
        </w:sectPr>
      </w:pPr>
      <w:r>
        <w:rPr>
          <w:rFonts w:hint="eastAsia"/>
        </w:rPr>
        <w:t>（</w:t>
      </w:r>
      <w:r>
        <w:t>3</w:t>
      </w:r>
      <w:r>
        <w:rPr>
          <w:rFonts w:hint="eastAsia"/>
        </w:rPr>
        <w:t>）免费质保期：自项目验收之日起，软件提供为期1年免费质保。</w:t>
      </w:r>
    </w:p>
    <w:p>
      <w:pPr>
        <w:ind w:firstLine="0" w:firstLineChars="0"/>
      </w:pP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E6617"/>
    <w:multiLevelType w:val="multilevel"/>
    <w:tmpl w:val="245E6617"/>
    <w:lvl w:ilvl="0" w:tentative="0">
      <w:start w:val="1"/>
      <w:numFmt w:val="decimal"/>
      <w:pStyle w:val="2"/>
      <w:lvlText w:val="%1."/>
      <w:lvlJc w:val="left"/>
      <w:pPr>
        <w:ind w:left="425" w:hanging="425"/>
      </w:pPr>
    </w:lvl>
    <w:lvl w:ilvl="1" w:tentative="0">
      <w:start w:val="1"/>
      <w:numFmt w:val="decimal"/>
      <w:pStyle w:val="3"/>
      <w:lvlText w:val="%1.%2."/>
      <w:lvlJc w:val="left"/>
      <w:pPr>
        <w:ind w:left="567" w:hanging="567"/>
      </w:pPr>
    </w:lvl>
    <w:lvl w:ilvl="2" w:tentative="0">
      <w:start w:val="1"/>
      <w:numFmt w:val="decimal"/>
      <w:pStyle w:val="4"/>
      <w:lvlText w:val="%1.%2.%3."/>
      <w:lvlJc w:val="left"/>
      <w:pPr>
        <w:ind w:left="709" w:hanging="709"/>
      </w:pPr>
    </w:lvl>
    <w:lvl w:ilvl="3" w:tentative="0">
      <w:start w:val="1"/>
      <w:numFmt w:val="decimal"/>
      <w:pStyle w:val="5"/>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93"/>
    <w:rsid w:val="00052890"/>
    <w:rsid w:val="00116DBD"/>
    <w:rsid w:val="00153E93"/>
    <w:rsid w:val="00183144"/>
    <w:rsid w:val="00206AAE"/>
    <w:rsid w:val="00232080"/>
    <w:rsid w:val="00236460"/>
    <w:rsid w:val="002A2CFE"/>
    <w:rsid w:val="00307E93"/>
    <w:rsid w:val="00422A65"/>
    <w:rsid w:val="005838BC"/>
    <w:rsid w:val="006742FE"/>
    <w:rsid w:val="007676B4"/>
    <w:rsid w:val="007F1D62"/>
    <w:rsid w:val="009A5C50"/>
    <w:rsid w:val="009A6633"/>
    <w:rsid w:val="00B953DF"/>
    <w:rsid w:val="00C06631"/>
    <w:rsid w:val="00C23917"/>
    <w:rsid w:val="00C95907"/>
    <w:rsid w:val="00D42245"/>
    <w:rsid w:val="00D714E3"/>
    <w:rsid w:val="00DF0DA8"/>
    <w:rsid w:val="00EA1CF8"/>
    <w:rsid w:val="00F10CB8"/>
    <w:rsid w:val="2254487C"/>
    <w:rsid w:val="6522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heme="minorBidi"/>
      <w:kern w:val="2"/>
      <w:sz w:val="24"/>
      <w:szCs w:val="32"/>
      <w:lang w:val="en-US" w:eastAsia="zh-CN" w:bidi="ar-SA"/>
    </w:rPr>
  </w:style>
  <w:style w:type="paragraph" w:styleId="2">
    <w:name w:val="heading 1"/>
    <w:basedOn w:val="1"/>
    <w:next w:val="1"/>
    <w:link w:val="15"/>
    <w:qFormat/>
    <w:uiPriority w:val="9"/>
    <w:pPr>
      <w:keepNext/>
      <w:keepLines/>
      <w:numPr>
        <w:ilvl w:val="0"/>
        <w:numId w:val="1"/>
      </w:numPr>
      <w:spacing w:before="120" w:after="120"/>
      <w:ind w:left="0" w:firstLine="0" w:firstLineChars="0"/>
      <w:outlineLvl w:val="0"/>
    </w:pPr>
    <w:rPr>
      <w:rFonts w:cstheme="majorBidi"/>
      <w:b/>
      <w:bCs/>
      <w:color w:val="000000" w:themeColor="text1"/>
      <w:sz w:val="48"/>
      <w:szCs w:val="48"/>
      <w14:textFill>
        <w14:solidFill>
          <w14:schemeClr w14:val="tx1"/>
        </w14:solidFill>
      </w14:textFill>
    </w:rPr>
  </w:style>
  <w:style w:type="paragraph" w:styleId="3">
    <w:name w:val="heading 2"/>
    <w:basedOn w:val="2"/>
    <w:next w:val="1"/>
    <w:link w:val="16"/>
    <w:unhideWhenUsed/>
    <w:qFormat/>
    <w:uiPriority w:val="9"/>
    <w:pPr>
      <w:numPr>
        <w:ilvl w:val="1"/>
      </w:numPr>
      <w:outlineLvl w:val="1"/>
    </w:pPr>
    <w:rPr>
      <w:sz w:val="44"/>
      <w:szCs w:val="44"/>
    </w:rPr>
  </w:style>
  <w:style w:type="paragraph" w:styleId="4">
    <w:name w:val="heading 3"/>
    <w:basedOn w:val="3"/>
    <w:next w:val="1"/>
    <w:link w:val="17"/>
    <w:unhideWhenUsed/>
    <w:qFormat/>
    <w:uiPriority w:val="9"/>
    <w:pPr>
      <w:numPr>
        <w:ilvl w:val="2"/>
        <w:numId w:val="1"/>
      </w:numPr>
      <w:outlineLvl w:val="2"/>
    </w:pPr>
    <w:rPr>
      <w:sz w:val="40"/>
      <w:szCs w:val="40"/>
    </w:rPr>
  </w:style>
  <w:style w:type="paragraph" w:styleId="5">
    <w:name w:val="heading 4"/>
    <w:basedOn w:val="4"/>
    <w:next w:val="1"/>
    <w:link w:val="18"/>
    <w:unhideWhenUsed/>
    <w:qFormat/>
    <w:uiPriority w:val="0"/>
    <w:pPr>
      <w:numPr>
        <w:ilvl w:val="3"/>
      </w:numPr>
      <w:outlineLvl w:val="3"/>
    </w:pPr>
    <w:rPr>
      <w:sz w:val="36"/>
      <w:szCs w:val="36"/>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ind w:firstLine="48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宋体" w:hAnsi="宋体" w:eastAsia="宋体" w:cstheme="majorBidi"/>
      <w:b/>
      <w:bCs/>
      <w:color w:val="000000" w:themeColor="text1"/>
      <w:sz w:val="48"/>
      <w:szCs w:val="48"/>
      <w14:textFill>
        <w14:solidFill>
          <w14:schemeClr w14:val="tx1"/>
        </w14:solidFill>
      </w14:textFill>
    </w:rPr>
  </w:style>
  <w:style w:type="character" w:customStyle="1" w:styleId="16">
    <w:name w:val="标题 2 字符"/>
    <w:basedOn w:val="14"/>
    <w:link w:val="3"/>
    <w:qFormat/>
    <w:uiPriority w:val="9"/>
    <w:rPr>
      <w:rFonts w:ascii="宋体" w:hAnsi="宋体" w:eastAsia="宋体" w:cstheme="majorBidi"/>
      <w:b/>
      <w:bCs/>
      <w:color w:val="000000" w:themeColor="text1"/>
      <w:sz w:val="44"/>
      <w:szCs w:val="44"/>
      <w14:textFill>
        <w14:solidFill>
          <w14:schemeClr w14:val="tx1"/>
        </w14:solidFill>
      </w14:textFill>
    </w:rPr>
  </w:style>
  <w:style w:type="character" w:customStyle="1" w:styleId="17">
    <w:name w:val="标题 3 字符"/>
    <w:basedOn w:val="14"/>
    <w:link w:val="4"/>
    <w:qFormat/>
    <w:uiPriority w:val="9"/>
    <w:rPr>
      <w:rFonts w:ascii="宋体" w:hAnsi="宋体" w:eastAsia="宋体" w:cstheme="majorBidi"/>
      <w:b/>
      <w:bCs/>
      <w:color w:val="000000" w:themeColor="text1"/>
      <w:sz w:val="40"/>
      <w:szCs w:val="40"/>
      <w14:textFill>
        <w14:solidFill>
          <w14:schemeClr w14:val="tx1"/>
        </w14:solidFill>
      </w14:textFill>
    </w:rPr>
  </w:style>
  <w:style w:type="character" w:customStyle="1" w:styleId="18">
    <w:name w:val="标题 4 字符"/>
    <w:basedOn w:val="14"/>
    <w:link w:val="5"/>
    <w:qFormat/>
    <w:uiPriority w:val="9"/>
    <w:rPr>
      <w:rFonts w:ascii="宋体" w:hAnsi="宋体" w:eastAsia="宋体" w:cstheme="majorBidi"/>
      <w:b/>
      <w:bCs/>
      <w:color w:val="000000" w:themeColor="text1"/>
      <w:sz w:val="36"/>
      <w:szCs w:val="36"/>
      <w14:textFill>
        <w14:solidFill>
          <w14:schemeClr w14:val="tx1"/>
        </w14:solidFill>
      </w14:textFill>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sz w:val="24"/>
      <w:szCs w:val="32"/>
    </w:rPr>
  </w:style>
  <w:style w:type="character" w:customStyle="1" w:styleId="21">
    <w:name w:val="标题 7 字符"/>
    <w:basedOn w:val="14"/>
    <w:link w:val="8"/>
    <w:semiHidden/>
    <w:qFormat/>
    <w:uiPriority w:val="9"/>
    <w:rPr>
      <w:rFonts w:cstheme="majorBidi"/>
      <w:b/>
      <w:bCs/>
      <w:color w:val="595959" w:themeColor="text1" w:themeTint="A6"/>
      <w:sz w:val="24"/>
      <w:szCs w:val="32"/>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sz w:val="24"/>
      <w:szCs w:val="32"/>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sz w:val="24"/>
      <w:szCs w:val="32"/>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rFonts w:ascii="宋体" w:hAnsi="宋体" w:eastAsia="宋体"/>
      <w:i/>
      <w:iCs/>
      <w:color w:val="404040" w:themeColor="text1" w:themeTint="BF"/>
      <w:sz w:val="24"/>
      <w:szCs w:val="32"/>
      <w14:textFill>
        <w14:solidFill>
          <w14:schemeClr w14:val="tx1">
            <w14:lumMod w14:val="75000"/>
            <w14:lumOff w14:val="25000"/>
          </w14:schemeClr>
        </w14:solidFill>
      </w14:textFill>
    </w:rPr>
  </w:style>
  <w:style w:type="paragraph" w:styleId="28">
    <w:name w:val="List Paragraph"/>
    <w:basedOn w:val="1"/>
    <w:qFormat/>
    <w:uiPriority w:val="1"/>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rFonts w:ascii="宋体" w:hAnsi="宋体" w:eastAsia="宋体"/>
      <w:i/>
      <w:iCs/>
      <w:color w:val="104862" w:themeColor="accent1" w:themeShade="BF"/>
      <w:sz w:val="24"/>
      <w:szCs w:val="32"/>
    </w:rPr>
  </w:style>
  <w:style w:type="character" w:customStyle="1" w:styleId="32">
    <w:name w:val="Intense Reference"/>
    <w:basedOn w:val="14"/>
    <w:qFormat/>
    <w:uiPriority w:val="32"/>
    <w:rPr>
      <w:b/>
      <w:bCs/>
      <w:smallCaps/>
      <w:color w:val="104862" w:themeColor="accent1" w:themeShade="BF"/>
      <w:spacing w:val="5"/>
    </w:rPr>
  </w:style>
  <w:style w:type="paragraph" w:customStyle="1" w:styleId="33">
    <w:name w:val="__正文"/>
    <w:basedOn w:val="1"/>
    <w:link w:val="34"/>
    <w:qFormat/>
    <w:uiPriority w:val="0"/>
    <w:pPr>
      <w:jc w:val="left"/>
    </w:pPr>
    <w:rPr>
      <w:rFonts w:ascii="黑体" w:hAnsi="Times New Roman" w:cs="Times New Roman"/>
      <w:szCs w:val="28"/>
    </w:rPr>
  </w:style>
  <w:style w:type="character" w:customStyle="1" w:styleId="34">
    <w:name w:val="__正文 Char"/>
    <w:link w:val="33"/>
    <w:qFormat/>
    <w:uiPriority w:val="0"/>
    <w:rPr>
      <w:rFonts w:ascii="黑体" w:hAnsi="Times New Roman" w:eastAsia="宋体" w:cs="Times New Roman"/>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874</Words>
  <Characters>4983</Characters>
  <Lines>41</Lines>
  <Paragraphs>11</Paragraphs>
  <TotalTime>54</TotalTime>
  <ScaleCrop>false</ScaleCrop>
  <LinksUpToDate>false</LinksUpToDate>
  <CharactersWithSpaces>5846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2025-08-15T02:35:00Z</dcterms:created>
  <dc:creator>zyh</dc:creator>
  <cp:lastModifiedBy>顾丽莎</cp:lastModifiedBy>
  <dcterms:modified xsi:type="dcterms:W3CDTF">2025-08-19T06:24:22Z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1473FF21D4064030B3309E06E64886A2</vt:lpwstr>
  </property>
</Properties>
</file>